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40" w:lineRule="exact"/>
        <w:jc w:val="center"/>
        <w:rPr>
          <w:rFonts w:ascii="黑体" w:hAnsi="黑体" w:eastAsia="黑体" w:cs="方正小标宋简体"/>
          <w:bCs/>
          <w:sz w:val="44"/>
          <w:szCs w:val="44"/>
        </w:rPr>
      </w:pPr>
    </w:p>
    <w:p>
      <w:pPr>
        <w:pStyle w:val="8"/>
        <w:spacing w:line="540" w:lineRule="exact"/>
        <w:jc w:val="both"/>
        <w:rPr>
          <w:rFonts w:hint="eastAsia" w:ascii="方正黑体_GBK" w:hAnsi="黑体" w:eastAsia="方正黑体_GBK" w:cs="方正小标宋简体"/>
          <w:bCs/>
          <w:sz w:val="44"/>
          <w:szCs w:val="44"/>
        </w:rPr>
      </w:pPr>
      <w:r>
        <w:rPr>
          <w:rFonts w:hint="eastAsia" w:ascii="方正黑体_GBK" w:hAnsi="黑体" w:eastAsia="方正黑体_GBK" w:cs="方正小标宋简体"/>
          <w:bCs/>
          <w:sz w:val="44"/>
          <w:szCs w:val="44"/>
        </w:rPr>
        <w:t>阿坝州商品房预售资金监管协议书示范文本</w:t>
      </w:r>
    </w:p>
    <w:p>
      <w:pPr>
        <w:pStyle w:val="8"/>
        <w:spacing w:line="540" w:lineRule="exact"/>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（征求意见稿）</w:t>
      </w:r>
    </w:p>
    <w:p>
      <w:pPr>
        <w:pStyle w:val="8"/>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hint="eastAsia" w:ascii="仿宋_GB2312" w:hAnsi="仿宋" w:eastAsia="仿宋_GB2312"/>
          <w:sz w:val="32"/>
          <w:szCs w:val="32"/>
          <w:u w:val="single"/>
        </w:rPr>
      </w:pPr>
      <w:r>
        <w:rPr>
          <w:rFonts w:hint="eastAsia" w:ascii="仿宋_GB2312" w:hAnsi="仿宋" w:eastAsia="仿宋_GB2312"/>
          <w:sz w:val="32"/>
          <w:szCs w:val="32"/>
        </w:rPr>
        <w:t>甲方（开发企业）：</w:t>
      </w:r>
    </w:p>
    <w:p>
      <w:pPr>
        <w:spacing w:line="540" w:lineRule="exact"/>
        <w:rPr>
          <w:rFonts w:hint="eastAsia" w:ascii="仿宋_GB2312" w:hAnsi="仿宋" w:eastAsia="仿宋_GB2312"/>
          <w:sz w:val="32"/>
          <w:szCs w:val="32"/>
        </w:rPr>
      </w:pPr>
    </w:p>
    <w:p>
      <w:pPr>
        <w:spacing w:line="540" w:lineRule="exact"/>
        <w:rPr>
          <w:rFonts w:hint="eastAsia" w:ascii="仿宋_GB2312" w:hAnsi="仿宋" w:eastAsia="仿宋_GB2312"/>
          <w:sz w:val="32"/>
          <w:szCs w:val="32"/>
          <w:u w:val="single"/>
        </w:rPr>
      </w:pPr>
      <w:r>
        <w:rPr>
          <w:rFonts w:hint="eastAsia" w:ascii="仿宋_GB2312" w:hAnsi="仿宋" w:eastAsia="仿宋_GB2312"/>
          <w:sz w:val="32"/>
          <w:szCs w:val="32"/>
        </w:rPr>
        <w:t>乙方（银行业金融机构）：</w:t>
      </w:r>
    </w:p>
    <w:p>
      <w:pPr>
        <w:spacing w:line="540" w:lineRule="exact"/>
        <w:rPr>
          <w:rFonts w:hint="eastAsia" w:ascii="仿宋_GB2312" w:hAnsi="仿宋" w:eastAsia="仿宋_GB2312"/>
          <w:sz w:val="32"/>
          <w:szCs w:val="32"/>
        </w:rPr>
      </w:pPr>
    </w:p>
    <w:p>
      <w:pPr>
        <w:spacing w:line="540" w:lineRule="exact"/>
        <w:rPr>
          <w:rFonts w:ascii="仿宋" w:hAnsi="仿宋" w:eastAsia="仿宋"/>
          <w:sz w:val="32"/>
          <w:szCs w:val="32"/>
          <w:u w:val="single"/>
        </w:rPr>
      </w:pPr>
      <w:r>
        <w:rPr>
          <w:rFonts w:hint="eastAsia" w:ascii="仿宋_GB2312" w:hAnsi="仿宋" w:eastAsia="仿宋_GB2312"/>
          <w:sz w:val="32"/>
          <w:szCs w:val="32"/>
        </w:rPr>
        <w:t>丙方（县市住建局）</w:t>
      </w:r>
      <w:r>
        <w:rPr>
          <w:rFonts w:hint="eastAsia" w:ascii="仿宋" w:hAnsi="仿宋" w:eastAsia="仿宋"/>
          <w:sz w:val="32"/>
          <w:szCs w:val="32"/>
        </w:rPr>
        <w:t>：</w:t>
      </w:r>
    </w:p>
    <w:p>
      <w:pPr>
        <w:pStyle w:val="8"/>
        <w:spacing w:line="540" w:lineRule="exact"/>
        <w:rPr>
          <w:rFonts w:ascii="仿宋_GB2312" w:hAnsi="仿宋_GB2312" w:eastAsia="仿宋_GB2312" w:cs="仿宋_GB2312"/>
          <w:sz w:val="32"/>
          <w:szCs w:val="32"/>
        </w:rPr>
      </w:pPr>
    </w:p>
    <w:p>
      <w:pPr>
        <w:pStyle w:val="8"/>
        <w:spacing w:line="540" w:lineRule="exact"/>
        <w:jc w:val="both"/>
        <w:rPr>
          <w:rFonts w:ascii="仿宋_GB2312" w:hAnsi="仿宋_GB2312" w:eastAsia="仿宋_GB2312" w:cs="仿宋_GB2312"/>
          <w:color w:val="333333"/>
          <w:sz w:val="32"/>
          <w:szCs w:val="32"/>
          <w:shd w:val="clear" w:color="auto" w:fill="FFFFFF"/>
        </w:rPr>
      </w:pPr>
      <w:r>
        <w:rPr>
          <w:rFonts w:hint="eastAsia" w:ascii="仿宋_GB2312" w:eastAsia="仿宋_GB2312"/>
          <w:sz w:val="32"/>
          <w:szCs w:val="32"/>
        </w:rPr>
        <w:t>为加强商品房预售资金的监督管理，确保商品房预售资金用于相关工程建设，预防和减少房产交易风险，保障商品房交易双方的合法权益，促进我州房地产市场平稳健康发展，</w:t>
      </w:r>
      <w:r>
        <w:rPr>
          <w:rFonts w:hint="eastAsia" w:ascii="仿宋_GB2312" w:hAnsi="仿宋_GB2312" w:eastAsia="仿宋_GB2312" w:cs="仿宋_GB2312"/>
          <w:color w:val="333333"/>
          <w:sz w:val="32"/>
          <w:szCs w:val="32"/>
          <w:shd w:val="clear" w:color="auto" w:fill="FFFFFF"/>
        </w:rPr>
        <w:t>根据《阿坝州商品房预售资金监管暂行办法》有关规定，经甲、乙、丙三方充分协商，在平等自愿的基础上，现就甲方开发建设申请预售的商品房其预售资金监管事宜达成一致意见，特签订本协议。</w:t>
      </w:r>
    </w:p>
    <w:p>
      <w:pPr>
        <w:pStyle w:val="8"/>
        <w:spacing w:line="540" w:lineRule="exact"/>
        <w:ind w:firstLine="64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第一条 项目概况</w:t>
      </w:r>
    </w:p>
    <w:p>
      <w:pPr>
        <w:pStyle w:val="8"/>
        <w:spacing w:line="540" w:lineRule="exact"/>
        <w:ind w:firstLine="64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预售商品房项目名称：</w:t>
      </w:r>
    </w:p>
    <w:p>
      <w:pPr>
        <w:pStyle w:val="8"/>
        <w:spacing w:line="540" w:lineRule="exact"/>
        <w:ind w:firstLine="640" w:firstLineChars="2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项目地址：</w:t>
      </w:r>
    </w:p>
    <w:p>
      <w:pPr>
        <w:pStyle w:val="8"/>
        <w:spacing w:line="540" w:lineRule="exact"/>
        <w:ind w:firstLine="64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项目规划用途：</w:t>
      </w:r>
    </w:p>
    <w:p>
      <w:pPr>
        <w:pStyle w:val="8"/>
        <w:spacing w:line="540" w:lineRule="exact"/>
        <w:ind w:firstLine="64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国有土地使用权证号：</w:t>
      </w:r>
    </w:p>
    <w:p>
      <w:pPr>
        <w:pStyle w:val="8"/>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建设用地规划许可证：</w:t>
      </w:r>
    </w:p>
    <w:p>
      <w:pPr>
        <w:pStyle w:val="8"/>
        <w:spacing w:line="540" w:lineRule="exact"/>
        <w:ind w:firstLine="640" w:firstLineChars="2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建设工程规划许可证号：</w:t>
      </w:r>
    </w:p>
    <w:p>
      <w:pPr>
        <w:pStyle w:val="8"/>
        <w:spacing w:line="540" w:lineRule="exact"/>
        <w:ind w:firstLine="640" w:firstLineChars="2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建筑工程施工许可证号：</w:t>
      </w:r>
    </w:p>
    <w:p>
      <w:pPr>
        <w:pStyle w:val="8"/>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预售总面积：平方米</w:t>
      </w:r>
    </w:p>
    <w:p>
      <w:pPr>
        <w:pStyle w:val="8"/>
        <w:spacing w:line="540" w:lineRule="exact"/>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其中：商品住房：套数,平方米，幢数/楼层数</w:t>
      </w:r>
    </w:p>
    <w:p>
      <w:pPr>
        <w:pStyle w:val="8"/>
        <w:spacing w:line="540" w:lineRule="exact"/>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商业用房：间数,平方米,幢数/楼层数</w:t>
      </w:r>
    </w:p>
    <w:p>
      <w:pPr>
        <w:pStyle w:val="8"/>
        <w:spacing w:line="540" w:lineRule="exact"/>
        <w:ind w:firstLine="640" w:firstLineChars="200"/>
        <w:jc w:val="both"/>
        <w:rPr>
          <w:rFonts w:hint="eastAsia" w:ascii="黑体" w:hAnsi="黑体" w:eastAsia="黑体" w:cs="黑体"/>
          <w:sz w:val="32"/>
          <w:szCs w:val="32"/>
        </w:rPr>
      </w:pPr>
      <w:r>
        <w:rPr>
          <w:rFonts w:hint="eastAsia" w:ascii="黑体" w:hAnsi="黑体" w:eastAsia="黑体" w:cs="黑体"/>
          <w:color w:val="000000"/>
          <w:sz w:val="32"/>
          <w:szCs w:val="32"/>
        </w:rPr>
        <w:t>第二条 监管帐户</w:t>
      </w:r>
    </w:p>
    <w:p>
      <w:pPr>
        <w:pStyle w:val="8"/>
        <w:spacing w:line="540" w:lineRule="exact"/>
        <w:ind w:firstLine="640" w:firstLineChars="200"/>
        <w:jc w:val="both"/>
        <w:rPr>
          <w:rFonts w:ascii="黑体" w:hAnsi="黑体" w:eastAsia="黑体" w:cs="仿宋_GB2312"/>
          <w:sz w:val="32"/>
          <w:szCs w:val="32"/>
        </w:rPr>
      </w:pPr>
      <w:r>
        <w:rPr>
          <w:rFonts w:hint="eastAsia" w:ascii="仿宋_GB2312" w:hAnsi="仿宋_GB2312" w:eastAsia="仿宋_GB2312" w:cs="仿宋_GB2312"/>
          <w:color w:val="000000"/>
          <w:sz w:val="32"/>
          <w:szCs w:val="32"/>
        </w:rPr>
        <w:t>甲方自愿选择乙方作为监管项目商品房预售资金监管合作银行（以下简称监管银行），甲方同意并保证监管项目的商品房预售资金全部存入在乙方设立的商品房预售资金监管账户中。</w:t>
      </w:r>
    </w:p>
    <w:p>
      <w:pPr>
        <w:pStyle w:val="8"/>
        <w:spacing w:line="540" w:lineRule="exact"/>
        <w:ind w:firstLine="640"/>
        <w:jc w:val="both"/>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商品房预售资金监管账户名称：</w:t>
      </w:r>
    </w:p>
    <w:p>
      <w:pPr>
        <w:pStyle w:val="8"/>
        <w:spacing w:line="540" w:lineRule="exact"/>
        <w:ind w:firstLine="640" w:firstLineChars="200"/>
        <w:jc w:val="both"/>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商品房预售资金监管账号：</w:t>
      </w:r>
    </w:p>
    <w:p>
      <w:pPr>
        <w:pStyle w:val="8"/>
        <w:spacing w:line="54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sz w:val="32"/>
          <w:szCs w:val="32"/>
        </w:rPr>
        <w:t xml:space="preserve">第三条 </w:t>
      </w:r>
      <w:r>
        <w:rPr>
          <w:rFonts w:hint="eastAsia" w:ascii="黑体" w:hAnsi="黑体" w:eastAsia="黑体" w:cs="黑体"/>
          <w:color w:val="000000"/>
          <w:sz w:val="32"/>
          <w:szCs w:val="32"/>
        </w:rPr>
        <w:t>监管范围</w:t>
      </w:r>
    </w:p>
    <w:p>
      <w:pPr>
        <w:spacing w:line="540" w:lineRule="exact"/>
        <w:ind w:firstLine="616" w:firstLineChars="200"/>
        <w:rPr>
          <w:rFonts w:ascii="仿宋_GB2312" w:eastAsia="仿宋_GB2312"/>
          <w:spacing w:val="-6"/>
          <w:kern w:val="0"/>
          <w:sz w:val="32"/>
          <w:szCs w:val="32"/>
        </w:rPr>
      </w:pPr>
      <w:r>
        <w:rPr>
          <w:rFonts w:hint="eastAsia" w:ascii="仿宋_GB2312" w:eastAsia="仿宋_GB2312"/>
          <w:spacing w:val="-6"/>
          <w:kern w:val="0"/>
          <w:sz w:val="32"/>
          <w:szCs w:val="32"/>
        </w:rPr>
        <w:t>甲方将正在建设中的房屋预先出售给买受人，由买受人按商品房预售合同约定支付的房价款全部纳入监管，包括但不限于首付款、一次性付款、分期付款、银行按揭贷款、住房公积金贷款等。</w:t>
      </w:r>
    </w:p>
    <w:p>
      <w:pPr>
        <w:spacing w:line="540" w:lineRule="exact"/>
        <w:ind w:left="64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第四条 监管分类</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商品房预售资金分为重点监管资金和一般监管资金。</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重点监管资金指用于支付预售项目工程建设的预售资金，主要用于购置本项目建设所必需的建筑材料、设备和支付项目建设的施工进度款、法定税费及其他相关费用。</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重点监管资金原则上按商品房预售成交金额（以开发企业与买受人签订的商品房预售合同为准）的一定比例确定，余下比例的预售资金为一般监管资金。具体划分如下：</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公积金贷款资金、商业贷款资金、</w:t>
      </w:r>
      <w:r>
        <w:rPr>
          <w:rFonts w:hint="eastAsia" w:ascii="仿宋_GB2312" w:eastAsia="仿宋_GB2312"/>
          <w:spacing w:val="-6"/>
          <w:kern w:val="0"/>
          <w:sz w:val="32"/>
          <w:szCs w:val="32"/>
        </w:rPr>
        <w:t>一次性付款资金的60%、分期付款资金的</w:t>
      </w:r>
      <w:r>
        <w:rPr>
          <w:rFonts w:hint="eastAsia" w:ascii="仿宋_GB2312" w:hAnsi="仿宋_GB2312" w:eastAsia="仿宋_GB2312" w:cs="仿宋_GB2312"/>
          <w:kern w:val="0"/>
          <w:sz w:val="32"/>
          <w:szCs w:val="32"/>
        </w:rPr>
        <w:t>60%确定</w:t>
      </w:r>
      <w:r>
        <w:rPr>
          <w:rFonts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rPr>
        <w:t>重点监管资金。</w:t>
      </w:r>
    </w:p>
    <w:p>
      <w:pPr>
        <w:spacing w:line="540" w:lineRule="exact"/>
        <w:ind w:firstLine="616" w:firstLineChars="200"/>
        <w:rPr>
          <w:rFonts w:ascii="仿宋_GB2312" w:hAnsi="仿宋_GB2312" w:eastAsia="仿宋_GB2312" w:cs="仿宋_GB2312"/>
          <w:kern w:val="0"/>
          <w:sz w:val="32"/>
          <w:szCs w:val="32"/>
        </w:rPr>
      </w:pPr>
      <w:r>
        <w:rPr>
          <w:rFonts w:hint="eastAsia" w:ascii="仿宋_GB2312" w:eastAsia="仿宋_GB2312"/>
          <w:spacing w:val="-6"/>
          <w:kern w:val="0"/>
          <w:sz w:val="32"/>
          <w:szCs w:val="32"/>
        </w:rPr>
        <w:t>定金、首付款、一次性付款资金的40%、分期付款资金的40%均属于一般监管资金。</w:t>
      </w:r>
    </w:p>
    <w:p>
      <w:pPr>
        <w:spacing w:line="540" w:lineRule="exact"/>
        <w:ind w:firstLine="640" w:firstLineChars="200"/>
        <w:rPr>
          <w:rFonts w:ascii="黑体" w:hAnsi="黑体" w:eastAsia="黑体" w:cs="仿宋_GB2312"/>
          <w:color w:val="000000"/>
          <w:kern w:val="0"/>
          <w:sz w:val="32"/>
          <w:szCs w:val="32"/>
        </w:rPr>
      </w:pPr>
      <w:r>
        <w:rPr>
          <w:rFonts w:hint="eastAsia" w:ascii="仿宋_GB2312" w:hAnsi="仿宋_GB2312" w:eastAsia="仿宋_GB2312" w:cs="仿宋_GB2312"/>
          <w:kern w:val="0"/>
          <w:sz w:val="32"/>
          <w:szCs w:val="32"/>
        </w:rPr>
        <w:t>商品房预售资金存入监管账户后，银行按以上款项属性和比例划入重点监管资金和一般监管资金。</w:t>
      </w:r>
    </w:p>
    <w:p>
      <w:pPr>
        <w:pStyle w:val="11"/>
        <w:spacing w:line="540" w:lineRule="exact"/>
        <w:ind w:left="640" w:firstLine="0" w:firstLineChars="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第五条 监管期限</w:t>
      </w:r>
    </w:p>
    <w:p>
      <w:pPr>
        <w:spacing w:line="540" w:lineRule="exact"/>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本监管项目商品房预售资金监管期限为：</w:t>
      </w:r>
      <w:r>
        <w:rPr>
          <w:rFonts w:hint="eastAsia" w:ascii="仿宋_GB2312" w:eastAsia="仿宋_GB2312"/>
          <w:kern w:val="0"/>
          <w:sz w:val="32"/>
          <w:szCs w:val="32"/>
        </w:rPr>
        <w:t>开发企业自取得商品房预售许可证起，至完成不动产首次登记止。</w:t>
      </w:r>
    </w:p>
    <w:p>
      <w:pPr>
        <w:pStyle w:val="8"/>
        <w:spacing w:line="54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第六条 缴存管理</w:t>
      </w:r>
    </w:p>
    <w:p>
      <w:pPr>
        <w:spacing w:line="540" w:lineRule="exact"/>
        <w:ind w:left="210" w:leftChars="100" w:firstLine="280" w:firstLineChars="200"/>
        <w:rPr>
          <w:rFonts w:ascii="仿宋_GB2312" w:hAnsi="仿宋_GB2312" w:eastAsia="仿宋_GB2312" w:cs="仿宋_GB2312"/>
          <w:kern w:val="0"/>
          <w:sz w:val="32"/>
          <w:szCs w:val="32"/>
        </w:rPr>
      </w:pPr>
      <w:r>
        <w:rPr>
          <w:rFonts w:ascii="Arial" w:hAnsi="Arial" w:cs="Arial"/>
          <w:color w:val="333333"/>
          <w:sz w:val="14"/>
          <w:szCs w:val="14"/>
          <w:shd w:val="clear" w:color="auto" w:fill="FFFFFF"/>
        </w:rPr>
        <w:t> </w:t>
      </w:r>
      <w:r>
        <w:rPr>
          <w:rFonts w:ascii="仿宋_GB2312" w:hAnsi="仿宋_GB2312" w:eastAsia="仿宋_GB2312" w:cs="仿宋_GB2312"/>
          <w:kern w:val="0"/>
          <w:sz w:val="32"/>
          <w:szCs w:val="32"/>
        </w:rPr>
        <w:t>商品房预售资金</w:t>
      </w:r>
      <w:r>
        <w:rPr>
          <w:rFonts w:hint="eastAsia" w:ascii="仿宋_GB2312" w:hAnsi="仿宋_GB2312" w:eastAsia="仿宋_GB2312" w:cs="仿宋_GB2312"/>
          <w:kern w:val="0"/>
          <w:sz w:val="32"/>
          <w:szCs w:val="32"/>
        </w:rPr>
        <w:t>应</w:t>
      </w:r>
      <w:r>
        <w:rPr>
          <w:rFonts w:ascii="仿宋_GB2312" w:hAnsi="仿宋_GB2312" w:eastAsia="仿宋_GB2312" w:cs="仿宋_GB2312"/>
          <w:kern w:val="0"/>
          <w:sz w:val="32"/>
          <w:szCs w:val="32"/>
        </w:rPr>
        <w:t>全部直接存入监管账户</w:t>
      </w:r>
      <w:r>
        <w:rPr>
          <w:rFonts w:hint="eastAsia" w:ascii="仿宋_GB2312" w:hAnsi="仿宋_GB2312" w:eastAsia="仿宋_GB2312" w:cs="仿宋_GB2312"/>
          <w:kern w:val="0"/>
          <w:sz w:val="32"/>
          <w:szCs w:val="32"/>
        </w:rPr>
        <w:t>中。甲方应在商品房预售合同中注明监管账户、监管银行名称等信息，不得直接收取任何性质的房价款。</w:t>
      </w:r>
    </w:p>
    <w:p>
      <w:pPr>
        <w:spacing w:line="540" w:lineRule="exact"/>
        <w:ind w:left="210" w:leftChars="10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kern w:val="0"/>
          <w:sz w:val="32"/>
          <w:szCs w:val="32"/>
        </w:rPr>
        <w:t>买受人按照商品房预售合同约定的交款方式和时限内，凭开发企业出具的商品房预售资金缴款通知书，将房价款直接缴存至商品房预售合同载明的监管账户（买受人选择刷卡支付的，开发企业应提供与监管账户关联的专用POS机刷卡；买受人选择现金支付的，应直接到监管账户开设的银行营业网点柜台办理缴存）。监管银行核实缴款信息后，按开发企业缴款通知书收取预售资金并向买受人出具缴款凭证。开发企业应当根据监管银行出具的缴款凭证为买受人换取交款票据。</w:t>
      </w:r>
    </w:p>
    <w:p>
      <w:pPr>
        <w:spacing w:line="540" w:lineRule="exact"/>
        <w:ind w:left="210" w:leftChars="100"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kern w:val="0"/>
          <w:sz w:val="32"/>
          <w:szCs w:val="32"/>
        </w:rPr>
        <w:t>买受人申请住房公积金或商业按揭贷款购房的，开发企业应当提供监管账户作为贷款到账账户，贷款资金直接划入监管账户时，并注明用途。</w:t>
      </w:r>
    </w:p>
    <w:p>
      <w:pPr>
        <w:spacing w:line="540" w:lineRule="exact"/>
        <w:ind w:left="210" w:leftChars="100"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（三）买受人申请分期付款方式购房的，在签订商品房预售合同时，必须注明付款次数，每次付款额度和付款期限，并按合同约定及时将购房款存入监管账户中。</w:t>
      </w:r>
    </w:p>
    <w:p>
      <w:pPr>
        <w:pStyle w:val="8"/>
        <w:spacing w:line="540" w:lineRule="exact"/>
        <w:ind w:firstLine="960" w:firstLineChars="300"/>
        <w:jc w:val="both"/>
        <w:rPr>
          <w:rFonts w:hint="eastAsia" w:ascii="黑体" w:hAnsi="黑体" w:eastAsia="黑体" w:cs="黑体"/>
          <w:sz w:val="32"/>
          <w:szCs w:val="32"/>
        </w:rPr>
      </w:pPr>
      <w:r>
        <w:rPr>
          <w:rFonts w:hint="eastAsia" w:ascii="黑体" w:hAnsi="黑体" w:eastAsia="黑体" w:cs="黑体"/>
          <w:color w:val="000000"/>
          <w:sz w:val="32"/>
          <w:szCs w:val="32"/>
        </w:rPr>
        <w:t>第七条 使用管理</w:t>
      </w:r>
    </w:p>
    <w:p>
      <w:pPr>
        <w:spacing w:line="540" w:lineRule="exact"/>
        <w:ind w:firstLine="960" w:firstLineChars="3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商品房预售资金优先用于预售项目工程建设。</w:t>
      </w:r>
    </w:p>
    <w:p>
      <w:pPr>
        <w:spacing w:line="540" w:lineRule="exact"/>
        <w:ind w:firstLine="960" w:firstLineChars="3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本监管项目商品房预售监管资金的使用和拨付按照《阿坝州商品房预售资金监管暂行办法》有关规定和本协议具体约定执行。</w:t>
      </w:r>
    </w:p>
    <w:p>
      <w:pPr>
        <w:pStyle w:val="8"/>
        <w:spacing w:line="540" w:lineRule="exact"/>
        <w:ind w:firstLine="640"/>
        <w:jc w:val="both"/>
        <w:rPr>
          <w:rFonts w:ascii="楷体_GB2312" w:hAnsi="楷体_GB2312" w:eastAsia="楷体_GB2312" w:cs="楷体_GB2312"/>
          <w:color w:val="000000"/>
          <w:sz w:val="32"/>
          <w:szCs w:val="32"/>
        </w:rPr>
      </w:pPr>
      <w:r>
        <w:rPr>
          <w:rFonts w:hint="eastAsia" w:ascii="楷体_GB2312" w:hAnsi="楷体_GB2312" w:eastAsia="楷体_GB2312" w:cs="楷体_GB2312"/>
          <w:b/>
          <w:bCs/>
          <w:color w:val="000000"/>
          <w:sz w:val="32"/>
          <w:szCs w:val="32"/>
        </w:rPr>
        <w:t>（一）重点监管资金的使用</w:t>
      </w:r>
    </w:p>
    <w:p>
      <w:pPr>
        <w:pStyle w:val="8"/>
        <w:spacing w:line="540" w:lineRule="exact"/>
        <w:ind w:firstLine="960" w:firstLineChars="3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甲方</w:t>
      </w:r>
      <w:r>
        <w:rPr>
          <w:rFonts w:hint="eastAsia" w:ascii="仿宋_GB2312" w:hAnsi="仿宋_GB2312" w:eastAsia="仿宋_GB2312" w:cs="仿宋_GB2312"/>
          <w:sz w:val="32"/>
          <w:szCs w:val="32"/>
        </w:rPr>
        <w:t>根据本监管项目工程建设进度做好资金使用计划，严格按照本监管协议约定的控制节点向丙方提出重点监管资金拨付申请，具体控制节点和拨付标准如下：</w:t>
      </w:r>
    </w:p>
    <w:p>
      <w:pPr>
        <w:pStyle w:val="8"/>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（1）取得商品房预售许可证后，建成层数达到规划设计总层数（有地下室的计入总层数）的一半的，申请拨付资金不得超过重点监管资金实际到账总额度的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万元。</w:t>
      </w:r>
    </w:p>
    <w:p>
      <w:pPr>
        <w:pStyle w:val="8"/>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（2）主体结构验收合格的，申请拨付资金不得超过重点监管资金额度的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万元。</w:t>
      </w:r>
    </w:p>
    <w:p>
      <w:pPr>
        <w:pStyle w:val="8"/>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（3）工程竣工验收备案的，申请拨付资金不得超过重点监管资金额度的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万元。</w:t>
      </w:r>
    </w:p>
    <w:p>
      <w:pPr>
        <w:pStyle w:val="8"/>
        <w:spacing w:line="5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（4）完成不动产首次登记后，申请解除商品房预售资金监管。</w:t>
      </w:r>
    </w:p>
    <w:p>
      <w:pPr>
        <w:spacing w:line="54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注：对于高层、超高层或者大体量房屋建筑，可适当增设资金使用控制节点，但不得突破《阿坝州商品房预售资金监管暂行办法》资金留存比例的规定。工程建设进度未达到资金使用控制节点因特殊原因需提前申请使用的，需经属地县市住建局审核同意可分次提前申请但累计拨付比例不得超过有关控制节点最高拨付比例。）</w:t>
      </w:r>
    </w:p>
    <w:p>
      <w:pPr>
        <w:numPr>
          <w:ilvl w:val="0"/>
          <w:numId w:val="1"/>
        </w:numPr>
        <w:spacing w:line="54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一般监管资金的使用</w:t>
      </w:r>
    </w:p>
    <w:p>
      <w:pPr>
        <w:spacing w:line="54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甲方申请一般监管资金的使用，应根据实际制定当月资金使用计划，在一般监管资金实际到账金额内向丙方按月申请，每月留存比例不得低于一般监管资金账户余额的30%。</w:t>
      </w:r>
      <w:r>
        <w:rPr>
          <w:rFonts w:hint="eastAsia" w:ascii="仿宋_GB2312" w:hAnsi="仿宋_GB2312" w:eastAsia="仿宋_GB2312" w:cs="仿宋_GB2312"/>
          <w:spacing w:val="-6"/>
          <w:kern w:val="0"/>
          <w:sz w:val="32"/>
          <w:szCs w:val="32"/>
        </w:rPr>
        <w:t>首次付款后，之后每次申请拨付时开发企业还需提供加盖公司公章的上一次拨付用款的使用明细表和相应票据。</w:t>
      </w:r>
    </w:p>
    <w:p>
      <w:pPr>
        <w:spacing w:line="540" w:lineRule="exact"/>
        <w:ind w:firstLine="640" w:firstLineChars="200"/>
        <w:rPr>
          <w:rFonts w:hint="eastAsia" w:ascii="方正黑体_GBK" w:hAnsi="黑体" w:eastAsia="方正黑体_GBK" w:cs="仿宋_GB2312"/>
          <w:color w:val="000000" w:themeColor="text1"/>
          <w:sz w:val="32"/>
          <w:szCs w:val="32"/>
        </w:rPr>
      </w:pPr>
      <w:r>
        <w:rPr>
          <w:rFonts w:hint="eastAsia" w:ascii="黑体" w:hAnsi="黑体" w:eastAsia="黑体" w:cs="仿宋_GB2312"/>
          <w:color w:val="000000" w:themeColor="text1"/>
          <w:sz w:val="32"/>
          <w:szCs w:val="32"/>
        </w:rPr>
        <w:t xml:space="preserve"> </w:t>
      </w:r>
      <w:r>
        <w:rPr>
          <w:rFonts w:hint="eastAsia" w:ascii="黑体" w:hAnsi="黑体" w:eastAsia="黑体" w:cs="黑体"/>
          <w:color w:val="000000" w:themeColor="text1"/>
          <w:sz w:val="32"/>
          <w:szCs w:val="32"/>
        </w:rPr>
        <w:t>第八条 监管解除</w:t>
      </w:r>
    </w:p>
    <w:p>
      <w:pPr>
        <w:spacing w:line="540" w:lineRule="exact"/>
        <w:ind w:firstLine="640" w:firstLineChars="200"/>
        <w:rPr>
          <w:rFonts w:ascii="仿宋_GB2312" w:hAnsi="仿宋_GB2312" w:eastAsia="仿宋_GB2312" w:cs="仿宋_GB2312"/>
          <w:color w:val="333333"/>
          <w:sz w:val="32"/>
          <w:szCs w:val="32"/>
        </w:rPr>
      </w:pPr>
      <w:r>
        <w:rPr>
          <w:rFonts w:hint="eastAsia" w:ascii="仿宋_GB2312" w:hAnsi="华文仿宋" w:eastAsia="仿宋_GB2312"/>
          <w:kern w:val="0"/>
          <w:sz w:val="32"/>
          <w:szCs w:val="32"/>
        </w:rPr>
        <w:t>甲方完成不动产首次登记后，持不动产登记部门有关证明材料向丙方书面申请解除商品房预售资金账户的监管。丙方</w:t>
      </w:r>
      <w:r>
        <w:rPr>
          <w:rFonts w:hint="eastAsia" w:ascii="仿宋_GB2312" w:hAnsi="仿宋_GB2312" w:eastAsia="仿宋_GB2312" w:cs="仿宋_GB2312"/>
          <w:kern w:val="0"/>
          <w:sz w:val="32"/>
          <w:szCs w:val="32"/>
        </w:rPr>
        <w:t>自受理之日起3个工作日</w:t>
      </w:r>
      <w:r>
        <w:rPr>
          <w:rFonts w:hint="eastAsia" w:ascii="仿宋_GB2312" w:hAnsi="华文仿宋" w:eastAsia="仿宋_GB2312"/>
          <w:kern w:val="0"/>
          <w:sz w:val="32"/>
          <w:szCs w:val="32"/>
        </w:rPr>
        <w:t>内进行核实，符合条件的，出具解除证明材料。乙方</w:t>
      </w:r>
      <w:r>
        <w:rPr>
          <w:rFonts w:hint="eastAsia" w:ascii="仿宋_GB2312" w:hAnsi="仿宋_GB2312" w:eastAsia="仿宋_GB2312" w:cs="仿宋_GB2312"/>
          <w:kern w:val="0"/>
          <w:sz w:val="32"/>
          <w:szCs w:val="32"/>
        </w:rPr>
        <w:t>根据</w:t>
      </w:r>
      <w:r>
        <w:rPr>
          <w:rFonts w:hint="eastAsia" w:ascii="仿宋_GB2312" w:hAnsi="华文仿宋" w:eastAsia="仿宋_GB2312"/>
          <w:kern w:val="0"/>
          <w:sz w:val="32"/>
          <w:szCs w:val="32"/>
        </w:rPr>
        <w:t>丙方出具的有关解除证明材料</w:t>
      </w:r>
      <w:r>
        <w:rPr>
          <w:rFonts w:hint="eastAsia" w:ascii="仿宋_GB2312" w:hAnsi="仿宋_GB2312" w:eastAsia="仿宋_GB2312" w:cs="仿宋_GB2312"/>
          <w:kern w:val="0"/>
          <w:sz w:val="32"/>
          <w:szCs w:val="32"/>
        </w:rPr>
        <w:t>，核对监管信息系统的相关电子信息后，在2个工作日内办理有关解除手续。</w:t>
      </w:r>
    </w:p>
    <w:p>
      <w:pPr>
        <w:pStyle w:val="8"/>
        <w:spacing w:line="54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第九条 违约责任</w:t>
      </w:r>
    </w:p>
    <w:p>
      <w:pPr>
        <w:pStyle w:val="5"/>
        <w:spacing w:before="0" w:beforeAutospacing="0" w:after="0" w:afterAutospacing="0" w:line="540" w:lineRule="exact"/>
        <w:ind w:firstLine="66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甲方有下列行为之一的，由丙方责令其限期整改，并约谈其企业负责人。整改期间，暂停受理该企业其监管资金拨付。情节严重的，可暂停该项目商品房预售合同网签备案业务，依法予以行政处罚，记入企业信用档案，并向社会公示；造成损失的，承担相应法律责任：</w:t>
      </w:r>
    </w:p>
    <w:p>
      <w:pPr>
        <w:pStyle w:val="5"/>
        <w:spacing w:before="0" w:beforeAutospacing="0" w:after="0" w:afterAutospacing="0"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（1）未在商品房销售现场醒目位置公示本办法第十三条规定的资料；</w:t>
      </w:r>
    </w:p>
    <w:p>
      <w:pPr>
        <w:pStyle w:val="5"/>
        <w:spacing w:before="0" w:beforeAutospacing="0" w:after="0" w:afterAutospacing="0"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（2）未按规定将商品房预售资金全部存入监管账户的；</w:t>
      </w:r>
    </w:p>
    <w:p>
      <w:pPr>
        <w:pStyle w:val="5"/>
        <w:spacing w:before="0" w:beforeAutospacing="0" w:after="0" w:afterAutospacing="0"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（3）未按规定使用商品房预售资金的；</w:t>
      </w:r>
    </w:p>
    <w:p>
      <w:pPr>
        <w:pStyle w:val="5"/>
        <w:spacing w:before="0" w:beforeAutospacing="0" w:after="0" w:afterAutospacing="0"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（4）提供虚假用款证明材料申请拨付资金的；</w:t>
      </w:r>
    </w:p>
    <w:p>
      <w:pPr>
        <w:pStyle w:val="5"/>
        <w:spacing w:before="0" w:beforeAutospacing="0" w:after="0" w:afterAutospacing="0"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（5）以收取其他款项为名变相逃避监管的；</w:t>
      </w:r>
    </w:p>
    <w:p>
      <w:pPr>
        <w:pStyle w:val="5"/>
        <w:spacing w:before="0" w:beforeAutospacing="0" w:after="0" w:afterAutospacing="0"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（6）其它违反本办法或监管协议的行为。</w:t>
      </w:r>
    </w:p>
    <w:p>
      <w:pPr>
        <w:pStyle w:val="5"/>
        <w:spacing w:before="0" w:beforeAutospacing="0" w:after="0" w:afterAutospacing="0" w:line="540" w:lineRule="exact"/>
        <w:ind w:firstLine="66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（二）乙方有下列行为之一的，由丙方报送州住建局、</w:t>
      </w:r>
      <w:r>
        <w:rPr>
          <w:rFonts w:hint="eastAsia" w:ascii="仿宋_GB2312" w:hAnsi="仿宋_GB2312" w:eastAsia="仿宋_GB2312" w:cs="仿宋_GB2312"/>
          <w:sz w:val="32"/>
          <w:szCs w:val="32"/>
        </w:rPr>
        <w:t>人行阿坝州中心支行、阿坝银监分局</w:t>
      </w:r>
      <w:r>
        <w:rPr>
          <w:rFonts w:hint="eastAsia" w:ascii="仿宋_GB2312" w:hAnsi="Times New Roman" w:eastAsia="仿宋_GB2312" w:cs="Times New Roman"/>
          <w:sz w:val="32"/>
          <w:szCs w:val="32"/>
        </w:rPr>
        <w:t>做相应处理。情节严重的，由丙方暂停或终止其监管银行资格，并向社会公示；造成损失的，承担相应法律责任：</w:t>
      </w:r>
    </w:p>
    <w:p>
      <w:pPr>
        <w:pStyle w:val="5"/>
        <w:spacing w:before="0" w:beforeAutospacing="0" w:after="0" w:afterAutospacing="0" w:line="540" w:lineRule="exact"/>
        <w:ind w:firstLine="660"/>
        <w:rPr>
          <w:rFonts w:hint="eastAsia" w:ascii="仿宋_GB2312" w:hAnsi="Times New Roman" w:eastAsia="仿宋_GB2312" w:cs="Times New Roman"/>
          <w:spacing w:val="-20"/>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pacing w:val="-20"/>
          <w:sz w:val="32"/>
          <w:szCs w:val="32"/>
        </w:rPr>
        <w:t>未按规定将预售资金或按揭贷款资金存入监管账户的；</w:t>
      </w:r>
    </w:p>
    <w:p>
      <w:pPr>
        <w:pStyle w:val="5"/>
        <w:spacing w:before="0" w:beforeAutospacing="0" w:after="0" w:afterAutospacing="0" w:line="540" w:lineRule="exact"/>
        <w:ind w:firstLine="660"/>
        <w:rPr>
          <w:rFonts w:hint="eastAsia" w:ascii="仿宋_GB2312" w:hAnsi="Times New Roman" w:eastAsia="仿宋_GB2312" w:cs="Times New Roman"/>
          <w:spacing w:val="-8"/>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pacing w:val="-8"/>
          <w:sz w:val="32"/>
          <w:szCs w:val="32"/>
        </w:rPr>
        <w:t>擅自支付、截留、挪用或者拖延支付商品房预售资金的；</w:t>
      </w:r>
    </w:p>
    <w:p>
      <w:pPr>
        <w:pStyle w:val="5"/>
        <w:spacing w:before="0" w:beforeAutospacing="0" w:after="0" w:afterAutospacing="0" w:line="540" w:lineRule="exact"/>
        <w:ind w:firstLine="66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（3）为开发企业违规支取预售资金提供虚假证明材料的；</w:t>
      </w:r>
    </w:p>
    <w:p>
      <w:pPr>
        <w:pStyle w:val="5"/>
        <w:spacing w:before="0" w:beforeAutospacing="0" w:after="0" w:afterAutospacing="0" w:line="540" w:lineRule="exact"/>
        <w:ind w:firstLine="66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（4）其他违反本办法或者监管协议的行为。</w:t>
      </w:r>
    </w:p>
    <w:p>
      <w:pPr>
        <w:pStyle w:val="8"/>
        <w:spacing w:line="540" w:lineRule="exact"/>
        <w:ind w:firstLine="640" w:firstLineChars="200"/>
        <w:jc w:val="both"/>
        <w:rPr>
          <w:rFonts w:hint="eastAsia" w:ascii="仿宋_GB2312" w:eastAsia="仿宋_GB2312"/>
          <w:sz w:val="32"/>
          <w:szCs w:val="32"/>
        </w:rPr>
      </w:pPr>
      <w:r>
        <w:rPr>
          <w:rFonts w:hint="eastAsia" w:ascii="仿宋_GB2312" w:eastAsia="仿宋_GB2312"/>
          <w:sz w:val="32"/>
          <w:szCs w:val="32"/>
        </w:rPr>
        <w:t>（三）乙方和丙方的人员在预售资金监管工作中玩忽职守、徇私舞弊、滥用职权、索贿受贿、泄露企业商业秘密的，由有关部门依法依纪追究责任。</w:t>
      </w:r>
    </w:p>
    <w:p>
      <w:pPr>
        <w:pStyle w:val="8"/>
        <w:spacing w:line="540" w:lineRule="exact"/>
        <w:ind w:firstLine="640" w:firstLineChars="200"/>
        <w:jc w:val="both"/>
        <w:rPr>
          <w:rFonts w:hint="eastAsia" w:ascii="黑体" w:hAnsi="黑体" w:eastAsia="黑体" w:cs="黑体"/>
          <w:color w:val="000000" w:themeColor="text1"/>
          <w:sz w:val="32"/>
          <w:szCs w:val="32"/>
        </w:rPr>
      </w:pPr>
      <w:r>
        <w:rPr>
          <w:rFonts w:hint="eastAsia" w:ascii="黑体" w:hAnsi="黑体" w:eastAsia="黑体" w:cs="黑体"/>
          <w:color w:val="000000"/>
          <w:sz w:val="32"/>
          <w:szCs w:val="32"/>
        </w:rPr>
        <w:t>第十条 协议的解除和终止</w:t>
      </w:r>
    </w:p>
    <w:p>
      <w:pPr>
        <w:pStyle w:val="8"/>
        <w:spacing w:line="54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z w:val="32"/>
          <w:szCs w:val="32"/>
        </w:rPr>
        <w:t>本协议在履行期间，因特殊原因需提前终止的，甲乙丙三方应协商一致后解除和终止本协议。</w:t>
      </w:r>
    </w:p>
    <w:p>
      <w:pPr>
        <w:pStyle w:val="8"/>
        <w:spacing w:line="54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第十一条 其他约定：</w:t>
      </w:r>
    </w:p>
    <w:p>
      <w:pPr>
        <w:pStyle w:val="8"/>
        <w:spacing w:line="540" w:lineRule="exact"/>
        <w:ind w:firstLine="645"/>
        <w:jc w:val="both"/>
        <w:rPr>
          <w:rFonts w:hint="eastAsia" w:ascii="黑体" w:hAnsi="黑体" w:eastAsia="黑体" w:cs="黑体"/>
          <w:color w:val="000000"/>
          <w:sz w:val="32"/>
          <w:szCs w:val="32"/>
        </w:rPr>
      </w:pPr>
      <w:r>
        <w:rPr>
          <w:rFonts w:hint="eastAsia" w:ascii="黑体" w:hAnsi="黑体" w:eastAsia="黑体" w:cs="黑体"/>
          <w:color w:val="000000"/>
          <w:sz w:val="32"/>
          <w:szCs w:val="32"/>
        </w:rPr>
        <w:t>第十二条 本协议未尽事宜，协议三方可签订补充协议。</w:t>
      </w:r>
    </w:p>
    <w:p>
      <w:pPr>
        <w:pStyle w:val="8"/>
        <w:spacing w:line="540" w:lineRule="exact"/>
        <w:ind w:firstLine="645"/>
        <w:jc w:val="both"/>
        <w:rPr>
          <w:rFonts w:hint="eastAsia" w:ascii="黑体" w:hAnsi="黑体" w:eastAsia="黑体" w:cs="黑体"/>
          <w:color w:val="000000"/>
          <w:sz w:val="32"/>
          <w:szCs w:val="32"/>
        </w:rPr>
      </w:pPr>
      <w:r>
        <w:rPr>
          <w:rFonts w:hint="eastAsia" w:ascii="黑体" w:hAnsi="黑体" w:eastAsia="黑体" w:cs="黑体"/>
          <w:color w:val="000000"/>
          <w:sz w:val="32"/>
          <w:szCs w:val="32"/>
        </w:rPr>
        <w:t>第十三条 本协议自签订之日起生效，一式三份，甲、乙、丙三方各执一份。</w:t>
      </w:r>
      <w:bookmarkStart w:id="0" w:name="_GoBack"/>
      <w:bookmarkEnd w:id="0"/>
    </w:p>
    <w:p>
      <w:pPr>
        <w:pStyle w:val="8"/>
        <w:spacing w:line="540" w:lineRule="exact"/>
        <w:jc w:val="both"/>
        <w:rPr>
          <w:rFonts w:hint="eastAsia" w:ascii="方正黑体_GBK" w:hAnsi="仿宋_GB2312" w:eastAsia="方正黑体_GBK" w:cs="仿宋_GB2312"/>
          <w:color w:val="000000"/>
          <w:sz w:val="32"/>
          <w:szCs w:val="32"/>
        </w:rPr>
      </w:pPr>
    </w:p>
    <w:p>
      <w:pPr>
        <w:pStyle w:val="8"/>
        <w:spacing w:line="5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甲方（签章）：                   </w:t>
      </w:r>
    </w:p>
    <w:p>
      <w:pPr>
        <w:pStyle w:val="8"/>
        <w:spacing w:line="5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法定代表人（签字）：                   </w:t>
      </w:r>
    </w:p>
    <w:p>
      <w:pPr>
        <w:pStyle w:val="8"/>
        <w:spacing w:line="5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委托代理人（签字）：           </w:t>
      </w:r>
    </w:p>
    <w:p>
      <w:pPr>
        <w:pStyle w:val="8"/>
        <w:spacing w:line="5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w:t>
      </w:r>
    </w:p>
    <w:p>
      <w:pPr>
        <w:pStyle w:val="8"/>
        <w:spacing w:line="5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乙方（签章）：                   </w:t>
      </w:r>
    </w:p>
    <w:p>
      <w:pPr>
        <w:pStyle w:val="8"/>
        <w:spacing w:line="5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法定代表人（签字）：                   </w:t>
      </w:r>
    </w:p>
    <w:p>
      <w:pPr>
        <w:pStyle w:val="8"/>
        <w:spacing w:line="5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委托代理人（签字）：           </w:t>
      </w:r>
    </w:p>
    <w:p>
      <w:pPr>
        <w:pStyle w:val="8"/>
        <w:spacing w:line="5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w:t>
      </w:r>
    </w:p>
    <w:p>
      <w:pPr>
        <w:pStyle w:val="8"/>
        <w:spacing w:line="5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丙方（签章）：                   </w:t>
      </w:r>
    </w:p>
    <w:p>
      <w:pPr>
        <w:pStyle w:val="8"/>
        <w:spacing w:line="5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法定代表人（签字）：                   </w:t>
      </w:r>
    </w:p>
    <w:p>
      <w:pPr>
        <w:pStyle w:val="8"/>
        <w:spacing w:line="50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委托代理人（签字）：           </w:t>
      </w:r>
    </w:p>
    <w:p>
      <w:pPr>
        <w:pStyle w:val="8"/>
        <w:spacing w:line="500" w:lineRule="exact"/>
        <w:jc w:val="both"/>
      </w:pPr>
      <w:r>
        <w:rPr>
          <w:rFonts w:hint="eastAsia" w:ascii="仿宋_GB2312" w:hAnsi="仿宋_GB2312" w:eastAsia="仿宋_GB2312" w:cs="仿宋_GB2312"/>
          <w:color w:val="000000"/>
          <w:sz w:val="32"/>
          <w:szCs w:val="32"/>
        </w:rPr>
        <w:t xml:space="preserve">                                     年   月   日</w:t>
      </w:r>
    </w:p>
    <w:sectPr>
      <w:pgSz w:w="11906" w:h="16838"/>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7071"/>
    <w:multiLevelType w:val="singleLevel"/>
    <w:tmpl w:val="1CB6707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8215C5"/>
    <w:rsid w:val="000E62E4"/>
    <w:rsid w:val="00115B8F"/>
    <w:rsid w:val="001D527A"/>
    <w:rsid w:val="002633AF"/>
    <w:rsid w:val="00337A6D"/>
    <w:rsid w:val="003558BC"/>
    <w:rsid w:val="003A48C3"/>
    <w:rsid w:val="004822EB"/>
    <w:rsid w:val="004871FC"/>
    <w:rsid w:val="00594359"/>
    <w:rsid w:val="005B1C85"/>
    <w:rsid w:val="00706FA2"/>
    <w:rsid w:val="007E70A7"/>
    <w:rsid w:val="00824C1E"/>
    <w:rsid w:val="008F2FC8"/>
    <w:rsid w:val="00D06D92"/>
    <w:rsid w:val="00D11534"/>
    <w:rsid w:val="00D42924"/>
    <w:rsid w:val="00F6327A"/>
    <w:rsid w:val="024E6991"/>
    <w:rsid w:val="02C17FDE"/>
    <w:rsid w:val="03655E2D"/>
    <w:rsid w:val="03B65400"/>
    <w:rsid w:val="0561565A"/>
    <w:rsid w:val="05E44757"/>
    <w:rsid w:val="0670424E"/>
    <w:rsid w:val="06C46781"/>
    <w:rsid w:val="07DF507E"/>
    <w:rsid w:val="07F0151E"/>
    <w:rsid w:val="07F079FE"/>
    <w:rsid w:val="081E456D"/>
    <w:rsid w:val="08232F24"/>
    <w:rsid w:val="089F36C3"/>
    <w:rsid w:val="093C72DF"/>
    <w:rsid w:val="0944676E"/>
    <w:rsid w:val="0B167872"/>
    <w:rsid w:val="0D1773CD"/>
    <w:rsid w:val="0DD45CF9"/>
    <w:rsid w:val="0E200516"/>
    <w:rsid w:val="0E396708"/>
    <w:rsid w:val="0F6210B8"/>
    <w:rsid w:val="0FAB35CF"/>
    <w:rsid w:val="102961B2"/>
    <w:rsid w:val="1035097C"/>
    <w:rsid w:val="106738AA"/>
    <w:rsid w:val="10FB2D40"/>
    <w:rsid w:val="117E78D6"/>
    <w:rsid w:val="11E72F89"/>
    <w:rsid w:val="12E21B8D"/>
    <w:rsid w:val="134F79FE"/>
    <w:rsid w:val="1357271D"/>
    <w:rsid w:val="136439BE"/>
    <w:rsid w:val="136A7F2D"/>
    <w:rsid w:val="13F909A9"/>
    <w:rsid w:val="15BF5BB6"/>
    <w:rsid w:val="15C34944"/>
    <w:rsid w:val="15D30642"/>
    <w:rsid w:val="1618125A"/>
    <w:rsid w:val="162223EB"/>
    <w:rsid w:val="169F66A0"/>
    <w:rsid w:val="16A310F5"/>
    <w:rsid w:val="17B96763"/>
    <w:rsid w:val="18354630"/>
    <w:rsid w:val="19476ACF"/>
    <w:rsid w:val="19B20572"/>
    <w:rsid w:val="19CC526B"/>
    <w:rsid w:val="1BC444E0"/>
    <w:rsid w:val="1DC6552A"/>
    <w:rsid w:val="1F676CA7"/>
    <w:rsid w:val="1FED14EA"/>
    <w:rsid w:val="21F676D0"/>
    <w:rsid w:val="220D3271"/>
    <w:rsid w:val="23575E85"/>
    <w:rsid w:val="238E3FE9"/>
    <w:rsid w:val="23AF1698"/>
    <w:rsid w:val="23BE4649"/>
    <w:rsid w:val="242A6EDF"/>
    <w:rsid w:val="243C407B"/>
    <w:rsid w:val="260F626B"/>
    <w:rsid w:val="265333F0"/>
    <w:rsid w:val="266D3054"/>
    <w:rsid w:val="26F85D67"/>
    <w:rsid w:val="27D8185B"/>
    <w:rsid w:val="28FA07A8"/>
    <w:rsid w:val="29EA2ACB"/>
    <w:rsid w:val="2A195E48"/>
    <w:rsid w:val="2B13742E"/>
    <w:rsid w:val="2B5F6C59"/>
    <w:rsid w:val="2BDB586D"/>
    <w:rsid w:val="2C2F1AEC"/>
    <w:rsid w:val="2C916D88"/>
    <w:rsid w:val="2E125689"/>
    <w:rsid w:val="2EC569C5"/>
    <w:rsid w:val="2EE6582A"/>
    <w:rsid w:val="2FAD24CD"/>
    <w:rsid w:val="307D0F1D"/>
    <w:rsid w:val="30FC4899"/>
    <w:rsid w:val="31FB5B33"/>
    <w:rsid w:val="321052D2"/>
    <w:rsid w:val="324246EE"/>
    <w:rsid w:val="32613C0B"/>
    <w:rsid w:val="32940088"/>
    <w:rsid w:val="362B35F7"/>
    <w:rsid w:val="38DE5170"/>
    <w:rsid w:val="39363A7E"/>
    <w:rsid w:val="39411584"/>
    <w:rsid w:val="39530837"/>
    <w:rsid w:val="3AD97ECC"/>
    <w:rsid w:val="3B182BE3"/>
    <w:rsid w:val="3B3F7008"/>
    <w:rsid w:val="3B447CCD"/>
    <w:rsid w:val="3BD75D88"/>
    <w:rsid w:val="3C665C57"/>
    <w:rsid w:val="3CA87208"/>
    <w:rsid w:val="3D4410F8"/>
    <w:rsid w:val="3E0566C0"/>
    <w:rsid w:val="3EB51823"/>
    <w:rsid w:val="3F166963"/>
    <w:rsid w:val="41D14873"/>
    <w:rsid w:val="4211300C"/>
    <w:rsid w:val="427754CE"/>
    <w:rsid w:val="43487233"/>
    <w:rsid w:val="43C56995"/>
    <w:rsid w:val="442E559F"/>
    <w:rsid w:val="45374896"/>
    <w:rsid w:val="45F07377"/>
    <w:rsid w:val="46196F98"/>
    <w:rsid w:val="46712222"/>
    <w:rsid w:val="46E8273D"/>
    <w:rsid w:val="47956BF5"/>
    <w:rsid w:val="4797443B"/>
    <w:rsid w:val="47B96AB4"/>
    <w:rsid w:val="47DF1A67"/>
    <w:rsid w:val="480D1AD2"/>
    <w:rsid w:val="48216FD3"/>
    <w:rsid w:val="490E3C78"/>
    <w:rsid w:val="492B4E60"/>
    <w:rsid w:val="49E23496"/>
    <w:rsid w:val="4AB82676"/>
    <w:rsid w:val="4AEE1125"/>
    <w:rsid w:val="4B2433FB"/>
    <w:rsid w:val="4C372B51"/>
    <w:rsid w:val="4CD0207A"/>
    <w:rsid w:val="4D6822D4"/>
    <w:rsid w:val="4EAE7499"/>
    <w:rsid w:val="4F1A48EF"/>
    <w:rsid w:val="4F5425A7"/>
    <w:rsid w:val="4FBA6E77"/>
    <w:rsid w:val="51661B86"/>
    <w:rsid w:val="518919A2"/>
    <w:rsid w:val="52215B7B"/>
    <w:rsid w:val="52503FB1"/>
    <w:rsid w:val="52C066F1"/>
    <w:rsid w:val="532345C8"/>
    <w:rsid w:val="53D228B6"/>
    <w:rsid w:val="54133451"/>
    <w:rsid w:val="544F18AD"/>
    <w:rsid w:val="547A4CAA"/>
    <w:rsid w:val="54BD55A6"/>
    <w:rsid w:val="54D2087B"/>
    <w:rsid w:val="552768CB"/>
    <w:rsid w:val="57480D25"/>
    <w:rsid w:val="574A3144"/>
    <w:rsid w:val="57F92A7E"/>
    <w:rsid w:val="581363A8"/>
    <w:rsid w:val="58C2165B"/>
    <w:rsid w:val="59962ECE"/>
    <w:rsid w:val="5A281F6C"/>
    <w:rsid w:val="5BD46372"/>
    <w:rsid w:val="5BF366A4"/>
    <w:rsid w:val="5C102B5D"/>
    <w:rsid w:val="5CFB2C80"/>
    <w:rsid w:val="5D287518"/>
    <w:rsid w:val="5D8867A0"/>
    <w:rsid w:val="5D8A2117"/>
    <w:rsid w:val="5DD806CF"/>
    <w:rsid w:val="5DDB5874"/>
    <w:rsid w:val="5E6C4CF5"/>
    <w:rsid w:val="5E6D4617"/>
    <w:rsid w:val="5F7753FF"/>
    <w:rsid w:val="60353CFC"/>
    <w:rsid w:val="603F2E65"/>
    <w:rsid w:val="60A75330"/>
    <w:rsid w:val="61071611"/>
    <w:rsid w:val="612F43F2"/>
    <w:rsid w:val="613343FC"/>
    <w:rsid w:val="61856FE7"/>
    <w:rsid w:val="618C2515"/>
    <w:rsid w:val="61DE467E"/>
    <w:rsid w:val="62A80E77"/>
    <w:rsid w:val="62FA7D56"/>
    <w:rsid w:val="643038A3"/>
    <w:rsid w:val="647A7B25"/>
    <w:rsid w:val="648F24FE"/>
    <w:rsid w:val="65890C70"/>
    <w:rsid w:val="665A15C3"/>
    <w:rsid w:val="66E342C6"/>
    <w:rsid w:val="677E68EF"/>
    <w:rsid w:val="679A52F8"/>
    <w:rsid w:val="67C412EB"/>
    <w:rsid w:val="68D44244"/>
    <w:rsid w:val="69C92478"/>
    <w:rsid w:val="6B2E4D20"/>
    <w:rsid w:val="6C504EDC"/>
    <w:rsid w:val="6C7D31E8"/>
    <w:rsid w:val="6D3C3310"/>
    <w:rsid w:val="6D713A04"/>
    <w:rsid w:val="6E7831DC"/>
    <w:rsid w:val="6F6A7061"/>
    <w:rsid w:val="6FF137DA"/>
    <w:rsid w:val="70833EA3"/>
    <w:rsid w:val="71556ED1"/>
    <w:rsid w:val="717346D9"/>
    <w:rsid w:val="719C7314"/>
    <w:rsid w:val="743B4843"/>
    <w:rsid w:val="75101564"/>
    <w:rsid w:val="7577650D"/>
    <w:rsid w:val="76402C6E"/>
    <w:rsid w:val="770A1C5B"/>
    <w:rsid w:val="781230A8"/>
    <w:rsid w:val="781E279C"/>
    <w:rsid w:val="786D4D71"/>
    <w:rsid w:val="788215C5"/>
    <w:rsid w:val="78BF081B"/>
    <w:rsid w:val="78C60E08"/>
    <w:rsid w:val="78F73E2B"/>
    <w:rsid w:val="79BC798D"/>
    <w:rsid w:val="7A9D3023"/>
    <w:rsid w:val="7AEA52BE"/>
    <w:rsid w:val="7BDB730B"/>
    <w:rsid w:val="7C3211A8"/>
    <w:rsid w:val="7D1B4AA7"/>
    <w:rsid w:val="7D3F41AF"/>
    <w:rsid w:val="7D6B68E1"/>
    <w:rsid w:val="7E456B5C"/>
    <w:rsid w:val="7E622AED"/>
    <w:rsid w:val="7E891F84"/>
    <w:rsid w:val="7EF233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样式1"/>
    <w:qFormat/>
    <w:uiPriority w:val="0"/>
    <w:rPr>
      <w:rFonts w:ascii="Times New Roman" w:hAnsi="Times New Roman" w:cs="Times New Roman" w:eastAsiaTheme="minorEastAsia"/>
      <w:sz w:val="24"/>
      <w:szCs w:val="24"/>
      <w:lang w:val="en-US" w:eastAsia="zh-CN" w:bidi="ar-SA"/>
    </w:rPr>
  </w:style>
  <w:style w:type="character" w:customStyle="1" w:styleId="9">
    <w:name w:val="页眉 Char"/>
    <w:basedOn w:val="7"/>
    <w:link w:val="4"/>
    <w:qFormat/>
    <w:uiPriority w:val="0"/>
    <w:rPr>
      <w:rFonts w:ascii="Times New Roman" w:hAnsi="Times New Roman" w:eastAsia="宋体" w:cs="Times New Roman"/>
      <w:kern w:val="2"/>
      <w:sz w:val="18"/>
      <w:szCs w:val="18"/>
    </w:rPr>
  </w:style>
  <w:style w:type="character" w:customStyle="1" w:styleId="10">
    <w:name w:val="页脚 Char"/>
    <w:basedOn w:val="7"/>
    <w:link w:val="3"/>
    <w:qFormat/>
    <w:uiPriority w:val="0"/>
    <w:rPr>
      <w:rFonts w:ascii="Times New Roman" w:hAnsi="Times New Roman" w:eastAsia="宋体" w:cs="Times New Roman"/>
      <w:kern w:val="2"/>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8AEC2-E544-4712-88AF-BF903020878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2801</Words>
  <Characters>395</Characters>
  <Lines>3</Lines>
  <Paragraphs>6</Paragraphs>
  <TotalTime>7</TotalTime>
  <ScaleCrop>false</ScaleCrop>
  <LinksUpToDate>false</LinksUpToDate>
  <CharactersWithSpaces>3190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2020-07-21T02:02:00Z</dcterms:created>
  <dc:creator>26370</dc:creator>
  <cp:lastModifiedBy>26370</cp:lastModifiedBy>
  <cp:lastPrinted>2020-08-12T01:27:00Z</cp:lastPrinted>
  <dcterms:modified xsi:type="dcterms:W3CDTF">2020-08-14T01:23:55Z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