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000000"/>
          <w:sz w:val="72"/>
          <w:szCs w:val="72"/>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keepNext w:val="0"/>
        <w:keepLines w:val="0"/>
        <w:pageBreakBefore w:val="0"/>
        <w:widowControl w:val="0"/>
        <w:kinsoku/>
        <w:wordWrap/>
        <w:overflowPunct/>
        <w:topLinePunct w:val="0"/>
        <w:autoSpaceDE/>
        <w:autoSpaceDN/>
        <w:bidi w:val="0"/>
        <w:adjustRightInd w:val="0"/>
        <w:snapToGrid w:val="0"/>
        <w:spacing w:line="1200" w:lineRule="exact"/>
        <w:jc w:val="center"/>
        <w:textAlignment w:val="auto"/>
        <w:outlineLvl w:val="0"/>
        <w:rPr>
          <w:rFonts w:hint="eastAsia" w:ascii="方正小标宋简体" w:hAnsi="宋体" w:eastAsia="方正小标宋简体"/>
          <w:color w:val="000000"/>
          <w:sz w:val="72"/>
          <w:szCs w:val="72"/>
        </w:rPr>
      </w:pPr>
      <w:bookmarkStart w:id="1" w:name="_Toc15377425"/>
      <w:bookmarkStart w:id="2" w:name="_Toc15396597"/>
      <w:bookmarkStart w:id="3" w:name="_Toc15378441"/>
      <w:bookmarkStart w:id="4" w:name="_Toc15396475"/>
      <w:bookmarkStart w:id="5" w:name="_Toc15377193"/>
      <w:bookmarkStart w:id="6" w:name="_Toc20950"/>
      <w:r>
        <w:rPr>
          <w:rFonts w:hint="eastAsia" w:ascii="方正小标宋简体" w:hAnsi="宋体" w:eastAsia="方正小标宋简体"/>
          <w:color w:val="000000"/>
          <w:sz w:val="72"/>
          <w:szCs w:val="72"/>
        </w:rPr>
        <w:t>2019年度</w:t>
      </w:r>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val="0"/>
        <w:snapToGrid w:val="0"/>
        <w:spacing w:line="1200" w:lineRule="exact"/>
        <w:jc w:val="center"/>
        <w:textAlignment w:val="auto"/>
        <w:outlineLvl w:val="0"/>
        <w:rPr>
          <w:rFonts w:ascii="方正小标宋简体" w:hAnsi="宋体" w:eastAsia="方正小标宋简体"/>
          <w:color w:val="000000"/>
          <w:sz w:val="72"/>
          <w:szCs w:val="72"/>
        </w:rPr>
      </w:pPr>
      <w:bookmarkStart w:id="7" w:name="_Toc15377426"/>
      <w:bookmarkStart w:id="8" w:name="_Toc15378442"/>
      <w:bookmarkStart w:id="9" w:name="_Toc15377194"/>
      <w:bookmarkStart w:id="10" w:name="_Toc6643"/>
      <w:bookmarkStart w:id="11" w:name="_Toc15396598"/>
      <w:bookmarkStart w:id="12" w:name="_Toc15396476"/>
      <w:r>
        <w:rPr>
          <w:rFonts w:hint="eastAsia" w:ascii="方正小标宋简体" w:hAnsi="宋体" w:eastAsia="方正小标宋简体"/>
          <w:color w:val="000000"/>
          <w:sz w:val="72"/>
          <w:szCs w:val="72"/>
        </w:rPr>
        <w:t>四川省阿坝州</w:t>
      </w:r>
      <w:bookmarkEnd w:id="0"/>
      <w:bookmarkStart w:id="13" w:name="_Toc15306268"/>
      <w:r>
        <w:rPr>
          <w:rFonts w:hint="eastAsia" w:ascii="方正小标宋简体" w:hAnsi="宋体" w:eastAsia="方正小标宋简体"/>
          <w:color w:val="000000"/>
          <w:sz w:val="72"/>
          <w:szCs w:val="72"/>
          <w:lang w:val="en-US" w:eastAsia="zh-CN"/>
        </w:rPr>
        <w:t>住房和城乡建设局</w:t>
      </w:r>
      <w:r>
        <w:rPr>
          <w:rFonts w:hint="eastAsia" w:ascii="方正小标宋简体" w:hAnsi="宋体" w:eastAsia="方正小标宋简体"/>
          <w:color w:val="000000"/>
          <w:sz w:val="72"/>
          <w:szCs w:val="72"/>
        </w:rPr>
        <w:t>部门决算</w:t>
      </w:r>
      <w:bookmarkEnd w:id="7"/>
      <w:bookmarkEnd w:id="8"/>
      <w:bookmarkEnd w:id="9"/>
      <w:bookmarkEnd w:id="10"/>
      <w:bookmarkEnd w:id="11"/>
      <w:bookmarkEnd w:id="12"/>
      <w:bookmarkEnd w:id="13"/>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firstLine="1276"/>
        <w:jc w:val="left"/>
        <w:rPr>
          <w:rFonts w:eastAsia="仿宋_GB2312"/>
          <w:sz w:val="32"/>
          <w:szCs w:val="32"/>
        </w:rPr>
      </w:pPr>
      <w:r>
        <w:rPr>
          <w:rFonts w:hint="eastAsia" w:ascii="仿宋_GB2312" w:hAnsi="Calibri" w:eastAsia="仿宋_GB2312" w:cs="仿宋_GB2312"/>
          <w:sz w:val="32"/>
          <w:szCs w:val="32"/>
        </w:rPr>
        <w:t>保密审查情况：已审查，内容审定</w:t>
      </w:r>
    </w:p>
    <w:p>
      <w:pPr>
        <w:autoSpaceDE w:val="0"/>
        <w:autoSpaceDN w:val="0"/>
        <w:adjustRightInd w:val="0"/>
        <w:ind w:firstLine="1276"/>
        <w:jc w:val="left"/>
        <w:rPr>
          <w:rFonts w:ascii="方正小标宋简体" w:hAnsi="宋体" w:eastAsia="方正小标宋简体"/>
          <w:sz w:val="36"/>
          <w:szCs w:val="36"/>
        </w:rPr>
      </w:pPr>
      <w:r>
        <w:rPr>
          <w:rFonts w:hint="eastAsia" w:ascii="仿宋_GB2312" w:eastAsia="仿宋_GB2312" w:cs="仿宋_GB2312"/>
          <w:sz w:val="32"/>
          <w:szCs w:val="32"/>
        </w:rPr>
        <w:t>审签情况：已审签</w:t>
      </w:r>
      <w:r>
        <w:rPr>
          <w:rFonts w:hint="eastAsia" w:ascii="仿宋_GB2312" w:hAnsi="Calibri" w:eastAsia="仿宋_GB2312" w:cs="仿宋_GB2312"/>
          <w:sz w:val="32"/>
          <w:szCs w:val="32"/>
        </w:rPr>
        <w:t>，同意对外公开</w:t>
      </w:r>
    </w:p>
    <w:p>
      <w:pPr>
        <w:widowControl/>
        <w:jc w:val="both"/>
        <w:rPr>
          <w:rFonts w:hint="eastAsia" w:ascii="黑体" w:hAnsi="黑体" w:eastAsia="黑体"/>
          <w:color w:val="000000"/>
          <w:sz w:val="48"/>
          <w:szCs w:val="48"/>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公开时间：2020年9月</w:t>
      </w:r>
      <w:r>
        <w:rPr>
          <w:rFonts w:hint="eastAsia"/>
          <w:lang w:val="en-US" w:eastAsia="zh-CN"/>
        </w:rPr>
        <w:t>23</w:t>
      </w:r>
      <w:r>
        <w:rPr>
          <w:rFonts w:hint="eastAsia"/>
        </w:rPr>
        <w:t>日</w:t>
      </w:r>
    </w:p>
    <w:sdt>
      <w:sdtPr>
        <w:rPr>
          <w:rFonts w:ascii="宋体" w:hAnsi="宋体" w:eastAsia="宋体" w:cs="Times New Roman"/>
          <w:kern w:val="2"/>
          <w:sz w:val="21"/>
          <w:szCs w:val="24"/>
          <w:lang w:val="en-US" w:eastAsia="zh-CN" w:bidi="ar-SA"/>
        </w:rPr>
        <w:id w:val="147467686"/>
        <w15:color w:val="DBDBDB"/>
        <w:docPartObj>
          <w:docPartGallery w:val="Table of Contents"/>
          <w:docPartUnique/>
        </w:docPartObj>
      </w:sdtPr>
      <w:sdtEndPr>
        <w:rPr>
          <w:rFonts w:hint="eastAsia" w:asciiTheme="minorEastAsia" w:hAnsiTheme="minorEastAsia" w:eastAsiaTheme="minorEastAsia" w:cstheme="minorEastAsia"/>
          <w:b w:val="0"/>
          <w:bCs/>
          <w:kern w:val="2"/>
          <w:sz w:val="28"/>
          <w:szCs w:val="28"/>
          <w:lang w:val="en-US" w:eastAsia="zh-CN" w:bidi="ar-SA"/>
        </w:rPr>
      </w:sdtEndPr>
      <w:sdtContent>
        <w:p>
          <w:pPr>
            <w:pStyle w:val="32"/>
            <w:tabs>
              <w:tab w:val="right" w:leader="dot" w:pos="8306"/>
            </w:tabs>
            <w:rPr>
              <w:rFonts w:hint="eastAsia" w:asciiTheme="minorEastAsia" w:hAnsiTheme="minorEastAsia" w:eastAsiaTheme="minorEastAsia" w:cstheme="minorEastAsia"/>
              <w:b w:val="0"/>
              <w:bCs/>
              <w:sz w:val="28"/>
              <w:szCs w:val="28"/>
            </w:rPr>
          </w:pPr>
          <w:bookmarkStart w:id="14" w:name="_Toc15396599"/>
          <w:bookmarkStart w:id="15" w:name="_Toc15377196"/>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TOC \o "1-2" \h \u </w:instrText>
          </w:r>
          <w:r>
            <w:rPr>
              <w:rFonts w:hint="eastAsia" w:asciiTheme="minorEastAsia" w:hAnsiTheme="minorEastAsia" w:eastAsiaTheme="minorEastAsia" w:cstheme="minorEastAsia"/>
              <w:b w:val="0"/>
              <w:bCs/>
              <w:sz w:val="28"/>
              <w:szCs w:val="28"/>
            </w:rPr>
            <w:fldChar w:fldCharType="separate"/>
          </w:r>
        </w:p>
        <w:p>
          <w:pPr>
            <w:pStyle w:val="32"/>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_Toc12605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第一部分 部门概况</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_Toc12605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_Toc3309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一、基本职能及主要工作</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_Toc3309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_Toc1000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二、机构设置</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_Toc1000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3</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2"/>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_Toc29889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第二部分 2019年度部门决算情况说明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_Toc29889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4</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_Toc1285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一、 收入支出决算总体情况说明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_Toc1285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4</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_Toc16191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二、 收入决算情况说明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_Toc16191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4</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_Toc29810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三、 支出决算情况说明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_Toc29810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5</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_Toc9889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四、财政拨款收入支出决算总体情况说明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_Toc9889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_Toc1694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五、一般公共预算财政拨款支出决算情况说明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_Toc1694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_Toc20405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六、一般公共预算财政拨款基本支出决算情况说明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_Toc20405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10</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_Toc9329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七、“三公”经费财政拨款支出决算情况说明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_Toc9329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10</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_Toc11506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八、政府性基金预算支出决算情况说明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_Toc11506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12</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_Toc5857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九、 国有资本经营预算支出决算情况说明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_Toc5857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12</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_Toc19437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十、其他重要事项的情况说明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_Toc19437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12</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2"/>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_Toc21424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第三部分 名词解释</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_Toc21424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15</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2"/>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_Toc2409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第四部分 附件</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_Toc2409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18</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2"/>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_Toc31784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附件1</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_Toc31784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18</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2"/>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_Toc14172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第五部分 附表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_Toc14172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_Toc7641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一、收入支出决算总表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_Toc7641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_Toc27331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二、收入决算表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_Toc27331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_Toc26834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三、支出决算表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_Toc26834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_Toc20077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四、财政拨款收入支出决算总表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_Toc20077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_Toc5049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五、财政拨款支出决算明细表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_Toc5049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_Toc24880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六、一般公共预算财政拨款支出决算表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_Toc24880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_Toc25001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七、一般公共预算财政拨款支出决算明细表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_Toc25001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_Toc8916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八、一般公共预算财政拨款基本支出决算表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_Toc8916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_Toc24574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九、一般公共预算财政拨款项目支出决算表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_Toc24574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_Toc3377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十、一般公共预算财政拨款“三公”经费支出决算表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_Toc3377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_Toc25459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十一、政府性基金预算财政拨款收入支出决算表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_Toc25459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_Toc25423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十二、政府性基金预算财政拨款“三公”经费支出决算表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_Toc25423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33"/>
            <w:tabs>
              <w:tab w:val="right" w:leader="dot" w:pos="8306"/>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_Toc18239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十三、国有资本经营预算支出决算表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_Toc18239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26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widowControl/>
            <w:spacing w:line="440" w:lineRule="exact"/>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end"/>
          </w:r>
        </w:p>
      </w:sdtContent>
    </w:sdt>
    <w:p>
      <w:pPr>
        <w:rPr>
          <w:rFonts w:hint="eastAsia" w:ascii="黑体" w:hAnsi="黑体" w:eastAsia="黑体"/>
          <w:b w:val="0"/>
        </w:rPr>
      </w:pPr>
      <w:bookmarkStart w:id="16" w:name="_Toc12605"/>
    </w:p>
    <w:p>
      <w:pPr>
        <w:pStyle w:val="2"/>
        <w:ind w:firstLine="2200" w:firstLineChars="500"/>
        <w:jc w:val="both"/>
        <w:rPr>
          <w:rFonts w:hint="eastAsia" w:ascii="黑体" w:hAnsi="黑体" w:eastAsia="黑体"/>
          <w:b w:val="0"/>
        </w:rPr>
        <w:sectPr>
          <w:footerReference r:id="rId6" w:type="first"/>
          <w:footerReference r:id="rId5" w:type="default"/>
          <w:pgSz w:w="11906" w:h="16838"/>
          <w:pgMar w:top="1440" w:right="1800" w:bottom="1440" w:left="1800" w:header="851" w:footer="992" w:gutter="0"/>
          <w:pgNumType w:start="1"/>
          <w:cols w:space="425" w:num="1"/>
          <w:docGrid w:type="lines" w:linePitch="312" w:charSpace="0"/>
        </w:sectPr>
      </w:pPr>
    </w:p>
    <w:p>
      <w:pPr>
        <w:pStyle w:val="2"/>
        <w:ind w:firstLine="2200" w:firstLineChars="500"/>
        <w:jc w:val="both"/>
        <w:rPr>
          <w:rFonts w:ascii="黑体" w:eastAsia="黑体"/>
          <w:color w:val="000000"/>
          <w:sz w:val="32"/>
          <w:szCs w:val="32"/>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4"/>
      <w:bookmarkEnd w:id="15"/>
      <w:bookmarkEnd w:id="16"/>
    </w:p>
    <w:p>
      <w:pPr>
        <w:pStyle w:val="3"/>
        <w:ind w:firstLine="640" w:firstLineChars="200"/>
        <w:rPr>
          <w:rStyle w:val="25"/>
          <w:rFonts w:ascii="仿宋" w:hAnsi="仿宋" w:eastAsia="仿宋"/>
          <w:b w:val="0"/>
          <w:bCs w:val="0"/>
        </w:rPr>
      </w:pPr>
      <w:bookmarkStart w:id="17" w:name="_Toc3309"/>
      <w:bookmarkStart w:id="18" w:name="_Toc15377197"/>
      <w:bookmarkStart w:id="19"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7"/>
      <w:bookmarkEnd w:id="18"/>
      <w:bookmarkEnd w:id="19"/>
    </w:p>
    <w:p>
      <w:pPr>
        <w:keepNext w:val="0"/>
        <w:keepLines w:val="0"/>
        <w:pageBreakBefore w:val="0"/>
        <w:kinsoku/>
        <w:wordWrap/>
        <w:overflowPunct/>
        <w:topLinePunct w:val="0"/>
        <w:autoSpaceDE/>
        <w:autoSpaceDN/>
        <w:bidi w:val="0"/>
        <w:adjustRightInd/>
        <w:spacing w:line="560" w:lineRule="exact"/>
        <w:ind w:firstLine="643" w:firstLineChars="200"/>
        <w:jc w:val="left"/>
        <w:textAlignment w:val="auto"/>
        <w:rPr>
          <w:rFonts w:hint="default" w:ascii="仿宋_GB2312" w:hAnsi="仿宋" w:eastAsia="仿宋_GB2312"/>
          <w:sz w:val="32"/>
          <w:szCs w:val="32"/>
          <w:lang w:val="en-US"/>
        </w:rPr>
      </w:pPr>
      <w:bookmarkStart w:id="20" w:name="_Toc15377198"/>
      <w:bookmarkStart w:id="21" w:name="_Toc15378445"/>
      <w:r>
        <w:rPr>
          <w:rFonts w:hint="eastAsia" w:ascii="楷体_GB2312" w:hAnsi="楷体_GB2312" w:eastAsia="楷体_GB2312" w:cs="楷体_GB2312"/>
          <w:b/>
          <w:bCs w:val="0"/>
          <w:color w:val="000000"/>
          <w:sz w:val="32"/>
          <w:szCs w:val="32"/>
        </w:rPr>
        <w:t>（一）主要职能。</w:t>
      </w:r>
      <w:bookmarkEnd w:id="20"/>
      <w:bookmarkEnd w:id="21"/>
      <w:bookmarkStart w:id="22" w:name="_Toc15378446"/>
      <w:bookmarkStart w:id="23" w:name="_Toc15377199"/>
      <w:r>
        <w:rPr>
          <w:rFonts w:hint="eastAsia" w:ascii="仿宋_GB2312" w:hAnsi="仿宋" w:eastAsia="仿宋_GB2312"/>
          <w:sz w:val="32"/>
          <w:szCs w:val="32"/>
          <w:lang w:val="en-US" w:eastAsia="zh-CN"/>
        </w:rPr>
        <w:t>阿坝州住房和城乡建设局</w:t>
      </w:r>
      <w:r>
        <w:rPr>
          <w:rFonts w:hint="eastAsia" w:ascii="仿宋_GB2312" w:hAnsi="仿宋" w:eastAsia="仿宋_GB2312"/>
          <w:sz w:val="32"/>
          <w:szCs w:val="32"/>
        </w:rPr>
        <w:t>根据《</w:t>
      </w:r>
      <w:r>
        <w:rPr>
          <w:rFonts w:hint="eastAsia" w:ascii="仿宋_GB2312" w:hAnsi="仿宋" w:eastAsia="仿宋_GB2312"/>
          <w:sz w:val="32"/>
          <w:szCs w:val="32"/>
          <w:lang w:val="en-US" w:eastAsia="zh-CN"/>
        </w:rPr>
        <w:t>中共阿坝州委机构编制委员会关于调整州住房和城乡建设局机构编制事项的通知</w:t>
      </w:r>
      <w:r>
        <w:rPr>
          <w:rFonts w:hint="eastAsia" w:ascii="仿宋_GB2312" w:hAnsi="仿宋" w:eastAsia="仿宋_GB2312"/>
          <w:sz w:val="32"/>
          <w:szCs w:val="32"/>
        </w:rPr>
        <w:t>》（</w:t>
      </w:r>
      <w:r>
        <w:rPr>
          <w:rFonts w:hint="eastAsia" w:ascii="仿宋_GB2312" w:hAnsi="仿宋" w:eastAsia="仿宋_GB2312"/>
          <w:sz w:val="32"/>
          <w:szCs w:val="32"/>
          <w:lang w:val="en-US" w:eastAsia="zh-CN"/>
        </w:rPr>
        <w:t>阿编发</w:t>
      </w:r>
      <w:r>
        <w:rPr>
          <w:rFonts w:hint="eastAsia"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w:t>
      </w:r>
      <w:r>
        <w:rPr>
          <w:rFonts w:hint="eastAsia" w:ascii="仿宋_GB2312" w:hAnsi="仿宋" w:eastAsia="仿宋_GB2312"/>
          <w:sz w:val="32"/>
          <w:szCs w:val="32"/>
          <w:lang w:val="en-US" w:eastAsia="zh-CN"/>
        </w:rPr>
        <w:t>77</w:t>
      </w:r>
      <w:r>
        <w:rPr>
          <w:rFonts w:hint="eastAsia" w:ascii="仿宋_GB2312" w:hAnsi="仿宋" w:eastAsia="仿宋_GB2312"/>
          <w:sz w:val="32"/>
          <w:szCs w:val="32"/>
        </w:rPr>
        <w:t>号）</w:t>
      </w:r>
      <w:r>
        <w:rPr>
          <w:rFonts w:hint="eastAsia" w:ascii="仿宋_GB2312" w:hAnsi="仿宋" w:eastAsia="仿宋_GB2312"/>
          <w:sz w:val="32"/>
          <w:szCs w:val="32"/>
          <w:lang w:val="en-US" w:eastAsia="zh-CN"/>
        </w:rPr>
        <w:t>批准，</w:t>
      </w:r>
      <w:r>
        <w:rPr>
          <w:rFonts w:hint="eastAsia" w:ascii="仿宋_GB2312" w:hAnsi="方正小标宋_GBK" w:eastAsia="仿宋_GB2312" w:cs="方正小标宋_GBK"/>
          <w:sz w:val="32"/>
          <w:szCs w:val="32"/>
        </w:rPr>
        <w:t>贯彻执行国家</w:t>
      </w:r>
      <w:r>
        <w:rPr>
          <w:rFonts w:hint="eastAsia" w:ascii="仿宋_GB2312" w:hAnsi="方正小标宋_GBK" w:eastAsia="仿宋_GB2312" w:cs="方正小标宋_GBK"/>
          <w:sz w:val="32"/>
          <w:szCs w:val="32"/>
          <w:lang w:val="en-US" w:eastAsia="zh-CN"/>
        </w:rPr>
        <w:t>有关住房和城乡建设</w:t>
      </w:r>
      <w:r>
        <w:rPr>
          <w:rFonts w:hint="eastAsia" w:ascii="仿宋_GB2312" w:hAnsi="方正小标宋_GBK" w:eastAsia="仿宋_GB2312" w:cs="方正小标宋_GBK"/>
          <w:sz w:val="32"/>
          <w:szCs w:val="32"/>
        </w:rPr>
        <w:t>的法律、法规、规章和方针政策</w:t>
      </w:r>
      <w:r>
        <w:rPr>
          <w:rFonts w:hint="eastAsia" w:ascii="仿宋_GB2312" w:hAnsi="方正小标宋_GBK" w:eastAsia="仿宋_GB2312" w:cs="方正小标宋_GBK"/>
          <w:sz w:val="32"/>
          <w:szCs w:val="32"/>
          <w:lang w:eastAsia="zh-CN"/>
        </w:rPr>
        <w:t>，</w:t>
      </w:r>
      <w:r>
        <w:rPr>
          <w:rFonts w:hint="eastAsia" w:ascii="仿宋_GB2312" w:hAnsi="仿宋" w:eastAsia="仿宋_GB2312"/>
          <w:sz w:val="32"/>
          <w:szCs w:val="32"/>
          <w:lang w:val="en-US" w:eastAsia="zh-CN"/>
        </w:rPr>
        <w:t>统筹发展全州住房和城乡建设工作。</w:t>
      </w:r>
      <w:r>
        <w:rPr>
          <w:rFonts w:hint="eastAsia" w:ascii="仿宋_GB2312" w:hAnsi="仿宋" w:eastAsia="仿宋_GB2312"/>
          <w:sz w:val="32"/>
          <w:szCs w:val="32"/>
        </w:rPr>
        <w:t>下属</w:t>
      </w:r>
      <w:r>
        <w:rPr>
          <w:rFonts w:hint="eastAsia" w:ascii="仿宋_GB2312" w:hAnsi="仿宋" w:eastAsia="仿宋_GB2312"/>
          <w:sz w:val="32"/>
          <w:szCs w:val="32"/>
          <w:lang w:val="en-US" w:eastAsia="zh-CN"/>
        </w:rPr>
        <w:t>2</w:t>
      </w:r>
      <w:r>
        <w:rPr>
          <w:rFonts w:hint="eastAsia" w:ascii="仿宋_GB2312" w:hAnsi="仿宋" w:eastAsia="仿宋_GB2312"/>
          <w:sz w:val="32"/>
          <w:szCs w:val="32"/>
        </w:rPr>
        <w:t>个直属</w:t>
      </w:r>
      <w:r>
        <w:rPr>
          <w:rFonts w:hint="eastAsia" w:ascii="仿宋_GB2312" w:hAnsi="仿宋" w:eastAsia="仿宋_GB2312"/>
          <w:sz w:val="32"/>
          <w:szCs w:val="32"/>
          <w:lang w:val="en-US" w:eastAsia="zh-CN"/>
        </w:rPr>
        <w:t>参公</w:t>
      </w:r>
      <w:r>
        <w:rPr>
          <w:rFonts w:hint="eastAsia" w:ascii="仿宋_GB2312" w:hAnsi="仿宋" w:eastAsia="仿宋_GB2312"/>
          <w:sz w:val="32"/>
          <w:szCs w:val="32"/>
        </w:rPr>
        <w:t>事业单位根据</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中共阿坝州委机构编制委员会关于调整州住房和城乡建设局所属事业单位有关机构编制事项的通知</w:t>
      </w:r>
      <w:r>
        <w:rPr>
          <w:rFonts w:hint="eastAsia" w:ascii="仿宋_GB2312" w:hAnsi="仿宋" w:eastAsia="仿宋_GB2312"/>
          <w:sz w:val="32"/>
          <w:szCs w:val="32"/>
          <w:lang w:eastAsia="zh-CN"/>
        </w:rPr>
        <w:t>》（</w:t>
      </w:r>
      <w:r>
        <w:rPr>
          <w:rFonts w:hint="eastAsia" w:ascii="仿宋_GB2312" w:hAnsi="仿宋" w:eastAsia="仿宋_GB2312"/>
          <w:sz w:val="32"/>
          <w:szCs w:val="32"/>
        </w:rPr>
        <w:t>阿编发[201</w:t>
      </w:r>
      <w:r>
        <w:rPr>
          <w:rFonts w:hint="eastAsia" w:ascii="仿宋_GB2312" w:hAnsi="仿宋" w:eastAsia="仿宋_GB2312"/>
          <w:sz w:val="32"/>
          <w:szCs w:val="32"/>
          <w:lang w:val="en-US" w:eastAsia="zh-CN"/>
        </w:rPr>
        <w:t>9</w:t>
      </w:r>
      <w:r>
        <w:rPr>
          <w:rFonts w:hint="eastAsia" w:ascii="仿宋_GB2312" w:hAnsi="仿宋" w:eastAsia="仿宋_GB2312"/>
          <w:sz w:val="32"/>
          <w:szCs w:val="32"/>
        </w:rPr>
        <w:t>]5</w:t>
      </w:r>
      <w:r>
        <w:rPr>
          <w:rFonts w:hint="eastAsia" w:ascii="仿宋_GB2312" w:hAnsi="仿宋" w:eastAsia="仿宋_GB2312"/>
          <w:sz w:val="32"/>
          <w:szCs w:val="32"/>
          <w:lang w:val="en-US" w:eastAsia="zh-CN"/>
        </w:rPr>
        <w:t>3</w:t>
      </w:r>
      <w:r>
        <w:rPr>
          <w:rFonts w:hint="eastAsia" w:ascii="仿宋_GB2312" w:hAnsi="仿宋" w:eastAsia="仿宋_GB2312"/>
          <w:sz w:val="32"/>
          <w:szCs w:val="32"/>
        </w:rPr>
        <w:t>号</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批准。阿坝州建设工程质量安全监督站（州工程造价站）负责全州建筑工程施工质量、安全生产、工地环保、竣工验收备案等工作的实施、监督执行及技术指导；负责全州建设工程监理、工程质量检测及鉴定行业的监督管理；提供全州建筑工程质量安全事故的调查服务。阿坝州城市管理综合行政执法监督局贯彻执行国家有关城市管理执法</w:t>
      </w:r>
      <w:r>
        <w:rPr>
          <w:rFonts w:hint="eastAsia" w:ascii="仿宋_GB2312" w:hAnsi="方正小标宋_GBK" w:eastAsia="仿宋_GB2312" w:cs="方正小标宋_GBK"/>
          <w:sz w:val="32"/>
          <w:szCs w:val="32"/>
        </w:rPr>
        <w:t>的法律、法规、规章和方针政策</w:t>
      </w:r>
      <w:r>
        <w:rPr>
          <w:rFonts w:hint="eastAsia" w:ascii="仿宋_GB2312" w:hAnsi="方正小标宋_GBK" w:eastAsia="仿宋_GB2312" w:cs="方正小标宋_GBK"/>
          <w:sz w:val="32"/>
          <w:szCs w:val="32"/>
          <w:lang w:eastAsia="zh-CN"/>
        </w:rPr>
        <w:t>；</w:t>
      </w:r>
      <w:r>
        <w:rPr>
          <w:rFonts w:hint="eastAsia" w:ascii="仿宋_GB2312" w:hAnsi="方正小标宋_GBK" w:eastAsia="仿宋_GB2312" w:cs="方正小标宋_GBK"/>
          <w:sz w:val="32"/>
          <w:szCs w:val="32"/>
        </w:rPr>
        <w:t>组织拟订全州城市管理政策措施并监督执行</w:t>
      </w:r>
      <w:r>
        <w:rPr>
          <w:rFonts w:hint="eastAsia" w:ascii="仿宋_GB2312" w:hAnsi="方正小标宋_GBK" w:eastAsia="仿宋_GB2312" w:cs="方正小标宋_GBK"/>
          <w:sz w:val="32"/>
          <w:szCs w:val="32"/>
          <w:lang w:eastAsia="zh-CN"/>
        </w:rPr>
        <w:t>；</w:t>
      </w:r>
      <w:r>
        <w:rPr>
          <w:rFonts w:hint="eastAsia" w:ascii="仿宋_GB2312" w:hAnsi="方正小标宋_GBK" w:eastAsia="仿宋_GB2312" w:cs="方正小标宋_GBK"/>
          <w:sz w:val="32"/>
          <w:szCs w:val="32"/>
        </w:rPr>
        <w:t>负责全州城市管理执法业务指导、组织协调、监督检查工作，指导全州城市管理执法队伍建设</w:t>
      </w:r>
      <w:r>
        <w:rPr>
          <w:rFonts w:hint="eastAsia" w:ascii="仿宋_GB2312" w:hAnsi="方正小标宋_GBK" w:eastAsia="仿宋_GB2312" w:cs="方正小标宋_GBK"/>
          <w:sz w:val="32"/>
          <w:szCs w:val="32"/>
          <w:lang w:eastAsia="zh-CN"/>
        </w:rPr>
        <w:t>；</w:t>
      </w:r>
      <w:r>
        <w:rPr>
          <w:rFonts w:hint="eastAsia" w:ascii="仿宋_GB2312" w:hAnsi="方正小标宋_GBK" w:eastAsia="仿宋_GB2312" w:cs="方正小标宋_GBK"/>
          <w:sz w:val="32"/>
          <w:szCs w:val="32"/>
        </w:rPr>
        <w:t>组织查处涉及城乡建设领域重大案件，协调、监督跨县（市）案件的查处。</w:t>
      </w:r>
    </w:p>
    <w:p>
      <w:pPr>
        <w:pStyle w:val="5"/>
        <w:adjustRightInd w:val="0"/>
        <w:snapToGrid w:val="0"/>
        <w:spacing w:before="93" w:line="600" w:lineRule="exact"/>
        <w:ind w:firstLine="675" w:firstLineChars="210"/>
        <w:outlineLvl w:val="2"/>
        <w:rPr>
          <w:rFonts w:hint="eastAsia"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rPr>
        <w:t>（二）2019年重点工作完成情况。</w:t>
      </w:r>
      <w:bookmarkEnd w:id="22"/>
      <w:bookmarkEnd w:id="23"/>
    </w:p>
    <w:p>
      <w:pPr>
        <w:pStyle w:val="5"/>
        <w:adjustRightInd w:val="0"/>
        <w:snapToGrid w:val="0"/>
        <w:spacing w:before="93" w:line="600" w:lineRule="exact"/>
        <w:ind w:firstLine="675" w:firstLineChars="210"/>
        <w:outlineLvl w:val="2"/>
        <w:rPr>
          <w:rFonts w:hint="eastAsia" w:ascii="仿宋" w:hAnsi="仿宋" w:eastAsia="仿宋"/>
          <w:b/>
          <w:bCs w:val="0"/>
          <w:color w:val="000000"/>
          <w:sz w:val="32"/>
          <w:szCs w:val="32"/>
        </w:rPr>
      </w:pPr>
      <w:r>
        <w:rPr>
          <w:rFonts w:hint="eastAsia" w:ascii="仿宋" w:hAnsi="仿宋" w:eastAsia="仿宋"/>
          <w:b/>
          <w:bCs w:val="0"/>
          <w:color w:val="000000"/>
          <w:sz w:val="32"/>
          <w:szCs w:val="32"/>
        </w:rPr>
        <w:t>1.城乡规划管理工作</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sectPr>
          <w:footerReference r:id="rId8" w:type="first"/>
          <w:footerReference r:id="rId7" w:type="default"/>
          <w:pgSz w:w="11906" w:h="16838"/>
          <w:pgMar w:top="1440" w:right="1800" w:bottom="1440" w:left="1800" w:header="851" w:footer="992" w:gutter="0"/>
          <w:pgNumType w:fmt="decimal" w:start="1"/>
          <w:cols w:space="425" w:num="1"/>
          <w:titlePg/>
          <w:docGrid w:type="lines" w:linePitch="312" w:charSpace="0"/>
        </w:sectPr>
      </w:pP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一是指导各县加快推进各类城乡规划修编和报批。二是开展规划执行情况专项监督检查工作。三是强化各类规划备案审查力度，会同各县做好项目规划方案审查工作。四是指导各县做好新区建设、旧城改造中规划编制及执行工作。五是完成州规划展览馆布展前期工作。</w:t>
      </w:r>
    </w:p>
    <w:p>
      <w:pPr>
        <w:pStyle w:val="5"/>
        <w:adjustRightInd w:val="0"/>
        <w:snapToGrid w:val="0"/>
        <w:spacing w:before="93" w:line="600" w:lineRule="exact"/>
        <w:ind w:firstLine="675" w:firstLineChars="210"/>
        <w:outlineLvl w:val="2"/>
        <w:rPr>
          <w:rFonts w:hint="eastAsia" w:ascii="仿宋" w:hAnsi="仿宋" w:eastAsia="仿宋"/>
          <w:b/>
          <w:bCs w:val="0"/>
          <w:color w:val="000000"/>
          <w:sz w:val="32"/>
          <w:szCs w:val="32"/>
        </w:rPr>
      </w:pPr>
      <w:r>
        <w:rPr>
          <w:rFonts w:hint="eastAsia" w:ascii="仿宋" w:hAnsi="仿宋" w:eastAsia="仿宋"/>
          <w:b/>
          <w:bCs w:val="0"/>
          <w:color w:val="000000"/>
          <w:sz w:val="32"/>
          <w:szCs w:val="32"/>
        </w:rPr>
        <w:t>2.城乡建设工作</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一是继续实施城镇化项目带动战略，逐步推进基础设施建设、公共服务和社会保障向农村延伸，建成一批特色浓郁、环境优美、功能配套的小集镇。二是逐步推进地下管廊、海绵城市建设。四是继续深入推进非物质文化遗产自然遗产暨传统村落保护工作。</w:t>
      </w:r>
    </w:p>
    <w:p>
      <w:pPr>
        <w:pStyle w:val="5"/>
        <w:adjustRightInd w:val="0"/>
        <w:snapToGrid w:val="0"/>
        <w:spacing w:before="93" w:line="600" w:lineRule="exact"/>
        <w:ind w:firstLine="675" w:firstLineChars="210"/>
        <w:outlineLvl w:val="2"/>
        <w:rPr>
          <w:rFonts w:hint="eastAsia" w:ascii="仿宋" w:hAnsi="仿宋" w:eastAsia="仿宋"/>
          <w:b/>
          <w:bCs w:val="0"/>
          <w:color w:val="000000"/>
          <w:sz w:val="32"/>
          <w:szCs w:val="32"/>
        </w:rPr>
      </w:pPr>
      <w:r>
        <w:rPr>
          <w:rFonts w:hint="eastAsia" w:ascii="仿宋" w:hAnsi="仿宋" w:eastAsia="仿宋"/>
          <w:b/>
          <w:bCs w:val="0"/>
          <w:color w:val="000000"/>
          <w:sz w:val="32"/>
          <w:szCs w:val="32"/>
        </w:rPr>
        <w:t xml:space="preserve"> 3.保障性住房建设工作</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对全州住房保障工作确保按期完成目标任务。二是进一步规范私房建设，严查小产权房，积极推进城市危旧房棚户区改造，整合土地资源，加大投资拉动，吸纳社会资金。三是积极指导各县加快项目建设进度，加强施工管理，优化设计，完善小区配套设施，加强物业管理。</w:t>
      </w:r>
    </w:p>
    <w:p>
      <w:pPr>
        <w:pStyle w:val="5"/>
        <w:adjustRightInd w:val="0"/>
        <w:snapToGrid w:val="0"/>
        <w:spacing w:before="93" w:line="600" w:lineRule="exact"/>
        <w:ind w:firstLine="675" w:firstLineChars="210"/>
        <w:outlineLvl w:val="2"/>
        <w:rPr>
          <w:rFonts w:hint="eastAsia" w:ascii="仿宋" w:hAnsi="仿宋" w:eastAsia="仿宋"/>
          <w:b/>
          <w:bCs w:val="0"/>
          <w:color w:val="000000"/>
          <w:sz w:val="32"/>
          <w:szCs w:val="32"/>
        </w:rPr>
      </w:pPr>
      <w:r>
        <w:rPr>
          <w:rFonts w:hint="eastAsia" w:ascii="仿宋" w:hAnsi="仿宋" w:eastAsia="仿宋"/>
          <w:b/>
          <w:bCs w:val="0"/>
          <w:color w:val="000000"/>
          <w:sz w:val="32"/>
          <w:szCs w:val="32"/>
        </w:rPr>
        <w:t>4.建筑业产值情况</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建筑业产值完成12.2亿元，较去年同期增加1.6%；建筑业增加值完成24.2亿元；较去年同期增加0.8%；累计使用州内农民工3万人，实现全州农牧民纯收入增加120元。二是进一步加大对促进建筑业发展的支持力度。三是建章立制进一步规范市场秩序。四是做好行业安全生产各项工作。五是示范引领推进建筑节能工作，推进我州建筑节能工作的开展。</w:t>
      </w:r>
    </w:p>
    <w:p>
      <w:pPr>
        <w:pStyle w:val="5"/>
        <w:adjustRightInd w:val="0"/>
        <w:snapToGrid w:val="0"/>
        <w:spacing w:before="93" w:line="600" w:lineRule="exact"/>
        <w:ind w:firstLine="675" w:firstLineChars="210"/>
        <w:outlineLvl w:val="2"/>
        <w:rPr>
          <w:rFonts w:hint="eastAsia" w:ascii="仿宋" w:hAnsi="仿宋" w:eastAsia="仿宋"/>
          <w:b/>
          <w:bCs w:val="0"/>
          <w:color w:val="000000"/>
          <w:sz w:val="32"/>
          <w:szCs w:val="32"/>
        </w:rPr>
      </w:pPr>
      <w:r>
        <w:rPr>
          <w:rFonts w:hint="eastAsia" w:ascii="仿宋" w:hAnsi="仿宋" w:eastAsia="仿宋"/>
          <w:b/>
          <w:bCs w:val="0"/>
          <w:color w:val="000000"/>
          <w:sz w:val="32"/>
          <w:szCs w:val="32"/>
        </w:rPr>
        <w:t>5.建设工程质量安全监督</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继续做好全州房屋建筑和市政基础设施质量监督、安全监督、造价管理工作，积极开展好散装水泥应用工作。继续做好《四川省建设工程安全监督实施细则》全面贯彻实施，并指导好我州房屋建筑和市政基础设施安全报监备案、安全监督工作。</w:t>
      </w:r>
    </w:p>
    <w:p>
      <w:pPr>
        <w:pStyle w:val="5"/>
        <w:adjustRightInd w:val="0"/>
        <w:snapToGrid w:val="0"/>
        <w:spacing w:before="93" w:line="600" w:lineRule="exact"/>
        <w:ind w:firstLine="675" w:firstLineChars="210"/>
        <w:outlineLvl w:val="2"/>
        <w:rPr>
          <w:rFonts w:hint="eastAsia" w:ascii="仿宋" w:hAnsi="仿宋" w:eastAsia="仿宋"/>
          <w:b/>
          <w:bCs w:val="0"/>
          <w:color w:val="000000"/>
          <w:sz w:val="32"/>
          <w:szCs w:val="32"/>
        </w:rPr>
      </w:pPr>
      <w:r>
        <w:rPr>
          <w:rFonts w:hint="eastAsia" w:ascii="仿宋" w:hAnsi="仿宋" w:eastAsia="仿宋"/>
          <w:b/>
          <w:bCs w:val="0"/>
          <w:color w:val="000000"/>
          <w:sz w:val="32"/>
          <w:szCs w:val="32"/>
        </w:rPr>
        <w:t>6.风景名胜区和世界自然遗产管理工作</w:t>
      </w:r>
    </w:p>
    <w:p>
      <w:pPr>
        <w:pStyle w:val="5"/>
        <w:keepNext w:val="0"/>
        <w:keepLines w:val="0"/>
        <w:pageBreakBefore w:val="0"/>
        <w:widowControl w:val="0"/>
        <w:kinsoku/>
        <w:wordWrap/>
        <w:overflowPunct/>
        <w:topLinePunct w:val="0"/>
        <w:autoSpaceDE/>
        <w:autoSpaceDN/>
        <w:bidi w:val="0"/>
        <w:adjustRightInd w:val="0"/>
        <w:snapToGrid w:val="0"/>
        <w:spacing w:before="93" w:line="560" w:lineRule="exact"/>
        <w:ind w:firstLine="672" w:firstLineChars="210"/>
        <w:textAlignment w:val="auto"/>
        <w:outlineLvl w:val="2"/>
        <w:rPr>
          <w:rFonts w:hint="eastAsia" w:ascii="仿宋" w:hAnsi="仿宋" w:eastAsia="仿宋"/>
          <w:bCs/>
          <w:color w:val="000000"/>
          <w:sz w:val="32"/>
          <w:szCs w:val="32"/>
        </w:rPr>
      </w:pPr>
      <w:r>
        <w:rPr>
          <w:rFonts w:hint="eastAsia" w:ascii="仿宋" w:hAnsi="仿宋" w:eastAsia="仿宋"/>
          <w:bCs/>
          <w:color w:val="000000"/>
          <w:sz w:val="32"/>
          <w:szCs w:val="32"/>
        </w:rPr>
        <w:t>加快推进理县米亚罗、汶川草坡、三江省级风景名胜区总体规划报批工作，完成金川县“古梨园-嘎达山”、“太阳河-观音庙”申报省级风景名胜区工作。</w:t>
      </w:r>
    </w:p>
    <w:p>
      <w:pPr>
        <w:pStyle w:val="3"/>
        <w:ind w:firstLine="640" w:firstLineChars="200"/>
        <w:rPr>
          <w:rStyle w:val="25"/>
          <w:b w:val="0"/>
          <w:bCs w:val="0"/>
        </w:rPr>
      </w:pPr>
      <w:bookmarkStart w:id="24" w:name="_Toc15396601"/>
      <w:bookmarkStart w:id="25" w:name="_Toc15377200"/>
      <w:bookmarkStart w:id="26" w:name="_Toc10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4"/>
      <w:bookmarkEnd w:id="25"/>
      <w:bookmarkEnd w:id="26"/>
    </w:p>
    <w:p>
      <w:pPr>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0"/>
        </w:pBdr>
        <w:kinsoku/>
        <w:wordWrap/>
        <w:overflowPunct/>
        <w:topLinePunct w:val="0"/>
        <w:autoSpaceDE/>
        <w:autoSpaceDN/>
        <w:bidi w:val="0"/>
        <w:adjustRightInd/>
        <w:spacing w:line="560" w:lineRule="exact"/>
        <w:ind w:leftChars="0" w:firstLine="640" w:firstLineChars="200"/>
        <w:jc w:val="left"/>
        <w:textAlignment w:val="auto"/>
        <w:rPr>
          <w:rFonts w:hint="default" w:ascii="仿宋" w:hAnsi="仿宋" w:eastAsia="仿宋"/>
          <w:color w:val="000000"/>
          <w:sz w:val="32"/>
          <w:szCs w:val="32"/>
          <w:lang w:val="en-US"/>
        </w:rPr>
      </w:pPr>
      <w:r>
        <w:rPr>
          <w:rFonts w:hint="eastAsia" w:ascii="仿宋_GB2312" w:eastAsia="仿宋_GB2312"/>
          <w:sz w:val="32"/>
          <w:szCs w:val="32"/>
        </w:rPr>
        <w:t>阿坝州</w:t>
      </w:r>
      <w:r>
        <w:rPr>
          <w:rFonts w:hint="eastAsia" w:ascii="仿宋_GB2312" w:eastAsia="仿宋_GB2312"/>
          <w:sz w:val="32"/>
          <w:szCs w:val="32"/>
          <w:lang w:val="en-US" w:eastAsia="zh-CN"/>
        </w:rPr>
        <w:t>住房和城乡建设局</w:t>
      </w:r>
      <w:r>
        <w:rPr>
          <w:rStyle w:val="30"/>
          <w:rFonts w:hint="eastAsia" w:ascii="仿宋_GB2312" w:hAnsi="MS PGothic" w:eastAsia="仿宋_GB2312"/>
          <w:color w:val="000000"/>
          <w:sz w:val="32"/>
          <w:szCs w:val="32"/>
        </w:rPr>
        <w:t>属</w:t>
      </w:r>
      <w:r>
        <w:rPr>
          <w:rStyle w:val="30"/>
          <w:rFonts w:hint="eastAsia" w:ascii="仿宋_GB2312" w:hAnsi="Dotum" w:eastAsia="仿宋_GB2312"/>
          <w:color w:val="000000"/>
          <w:sz w:val="32"/>
          <w:szCs w:val="32"/>
        </w:rPr>
        <w:t>一</w:t>
      </w:r>
      <w:r>
        <w:rPr>
          <w:rStyle w:val="30"/>
          <w:rFonts w:hint="eastAsia" w:ascii="仿宋_GB2312" w:hAnsi="宋体" w:eastAsia="仿宋_GB2312"/>
          <w:color w:val="000000"/>
          <w:sz w:val="32"/>
          <w:szCs w:val="32"/>
        </w:rPr>
        <w:t>级预</w:t>
      </w:r>
      <w:r>
        <w:rPr>
          <w:rStyle w:val="30"/>
          <w:rFonts w:hint="eastAsia" w:ascii="仿宋_GB2312" w:hAnsi="Dotum" w:eastAsia="仿宋_GB2312"/>
          <w:color w:val="000000"/>
          <w:sz w:val="32"/>
          <w:szCs w:val="32"/>
        </w:rPr>
        <w:t>算</w:t>
      </w:r>
      <w:r>
        <w:rPr>
          <w:rStyle w:val="30"/>
          <w:rFonts w:hint="eastAsia" w:ascii="仿宋_GB2312" w:hAnsi="宋体" w:eastAsia="仿宋_GB2312"/>
          <w:color w:val="000000"/>
          <w:sz w:val="32"/>
          <w:szCs w:val="32"/>
        </w:rPr>
        <w:t>单</w:t>
      </w:r>
      <w:r>
        <w:rPr>
          <w:rStyle w:val="30"/>
          <w:rFonts w:hint="eastAsia" w:ascii="仿宋_GB2312" w:hAnsi="Dotum" w:eastAsia="仿宋_GB2312"/>
          <w:color w:val="000000"/>
          <w:sz w:val="32"/>
          <w:szCs w:val="32"/>
        </w:rPr>
        <w:t>位</w:t>
      </w:r>
      <w:r>
        <w:rPr>
          <w:rStyle w:val="30"/>
          <w:rFonts w:hint="eastAsia" w:ascii="仿宋_GB2312" w:hAnsi="Dotum" w:eastAsia="仿宋_GB2312"/>
          <w:color w:val="333333"/>
          <w:sz w:val="32"/>
          <w:szCs w:val="32"/>
        </w:rPr>
        <w:t>，</w:t>
      </w:r>
      <w:r>
        <w:rPr>
          <w:rFonts w:hint="eastAsia" w:ascii="仿宋_GB2312" w:eastAsia="仿宋_GB2312"/>
          <w:sz w:val="32"/>
          <w:szCs w:val="32"/>
        </w:rPr>
        <w:t>下属</w:t>
      </w:r>
      <w:r>
        <w:rPr>
          <w:rFonts w:hint="eastAsia" w:ascii="仿宋_GB2312" w:eastAsia="仿宋_GB2312"/>
          <w:sz w:val="32"/>
          <w:szCs w:val="32"/>
          <w:lang w:val="en-US" w:eastAsia="zh-CN"/>
        </w:rPr>
        <w:t>2</w:t>
      </w:r>
      <w:r>
        <w:rPr>
          <w:rFonts w:hint="eastAsia" w:ascii="仿宋_GB2312" w:eastAsia="仿宋_GB2312"/>
          <w:sz w:val="32"/>
          <w:szCs w:val="32"/>
        </w:rPr>
        <w:t>个参公事业单位</w:t>
      </w:r>
      <w:r>
        <w:rPr>
          <w:rFonts w:hint="eastAsia" w:ascii="仿宋_GB2312" w:eastAsia="仿宋_GB2312"/>
          <w:sz w:val="32"/>
          <w:szCs w:val="32"/>
          <w:lang w:eastAsia="zh-CN"/>
        </w:rPr>
        <w:t>，分别是</w:t>
      </w:r>
      <w:r>
        <w:rPr>
          <w:rFonts w:hint="eastAsia" w:ascii="仿宋_GB2312" w:eastAsia="仿宋_GB2312"/>
          <w:sz w:val="32"/>
          <w:szCs w:val="32"/>
          <w:lang w:val="en-US" w:eastAsia="zh-CN"/>
        </w:rPr>
        <w:t>:阿坝州建设工程质量安全监督站（州工程造价站）、阿坝州城市管理综合行政执法监督局，为非独立核算的二级预算单位。</w:t>
      </w:r>
    </w:p>
    <w:p>
      <w:pPr>
        <w:widowControl/>
        <w:jc w:val="left"/>
        <w:rPr>
          <w:rFonts w:ascii="仿宋" w:hAnsi="仿宋" w:eastAsia="仿宋"/>
          <w:color w:val="000000"/>
          <w:kern w:val="0"/>
          <w:sz w:val="32"/>
          <w:szCs w:val="32"/>
        </w:rPr>
      </w:pPr>
    </w:p>
    <w:p>
      <w:pPr>
        <w:pStyle w:val="2"/>
        <w:ind w:right="440"/>
        <w:jc w:val="right"/>
        <w:rPr>
          <w:rStyle w:val="24"/>
          <w:rFonts w:ascii="黑体" w:hAnsi="黑体" w:eastAsia="黑体"/>
          <w:b w:val="0"/>
          <w:bCs w:val="0"/>
        </w:rPr>
      </w:pPr>
      <w:bookmarkStart w:id="27" w:name="_Toc29889"/>
      <w:bookmarkStart w:id="28" w:name="_Toc15396602"/>
      <w:bookmarkStart w:id="29"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27"/>
      <w:bookmarkEnd w:id="28"/>
      <w:bookmarkEnd w:id="29"/>
    </w:p>
    <w:p/>
    <w:p>
      <w:pPr>
        <w:pStyle w:val="23"/>
        <w:numPr>
          <w:ilvl w:val="0"/>
          <w:numId w:val="1"/>
        </w:numPr>
        <w:spacing w:line="600" w:lineRule="exact"/>
        <w:ind w:firstLineChars="0"/>
        <w:outlineLvl w:val="1"/>
        <w:rPr>
          <w:rStyle w:val="25"/>
          <w:rFonts w:ascii="黑体" w:hAnsi="黑体" w:eastAsia="黑体"/>
          <w:b w:val="0"/>
        </w:rPr>
      </w:pPr>
      <w:bookmarkStart w:id="30" w:name="_Toc15396603"/>
      <w:bookmarkStart w:id="31" w:name="_Toc1285"/>
      <w:bookmarkStart w:id="32"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30"/>
      <w:bookmarkEnd w:id="31"/>
      <w:bookmarkEnd w:id="32"/>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2019年度收、支总计1,444.20万元。与2018年相比，收、支总计各增加 230.08万元，增长 18.95%。主要变动原因</w:t>
      </w:r>
      <w:r>
        <w:rPr>
          <w:rFonts w:hint="eastAsia" w:ascii="仿宋" w:hAnsi="仿宋" w:eastAsia="仿宋"/>
          <w:color w:val="000000"/>
          <w:sz w:val="32"/>
          <w:szCs w:val="32"/>
          <w:lang w:val="en-US" w:eastAsia="zh-CN"/>
        </w:rPr>
        <w:t>是2019年单位项目收支预算增加。</w:t>
      </w:r>
    </w:p>
    <w:p>
      <w:pPr>
        <w:spacing w:line="600" w:lineRule="exact"/>
        <w:ind w:firstLine="640" w:firstLineChars="200"/>
        <w:rPr>
          <w:rFonts w:hint="eastAsia" w:ascii="仿宋" w:hAnsi="仿宋" w:eastAsia="仿宋"/>
          <w:color w:val="000000"/>
          <w:sz w:val="32"/>
          <w:szCs w:val="32"/>
          <w:lang w:val="en-US" w:eastAsia="zh-CN"/>
        </w:rPr>
      </w:pPr>
    </w:p>
    <w:p>
      <w:pPr>
        <w:spacing w:line="600" w:lineRule="exact"/>
        <w:rPr>
          <w:rFonts w:hint="eastAsia" w:ascii="仿宋" w:hAnsi="仿宋" w:eastAsia="仿宋"/>
          <w:color w:val="000000"/>
          <w:sz w:val="32"/>
          <w:szCs w:val="32"/>
          <w:lang w:val="en-US" w:eastAsia="zh-CN"/>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58240" behindDoc="0" locked="0" layoutInCell="1" allowOverlap="1">
            <wp:simplePos x="0" y="0"/>
            <wp:positionH relativeFrom="column">
              <wp:posOffset>204470</wp:posOffset>
            </wp:positionH>
            <wp:positionV relativeFrom="paragraph">
              <wp:posOffset>93980</wp:posOffset>
            </wp:positionV>
            <wp:extent cx="4947285" cy="2362835"/>
            <wp:effectExtent l="4445" t="4445" r="20320" b="1397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pStyle w:val="23"/>
        <w:numPr>
          <w:ilvl w:val="0"/>
          <w:numId w:val="1"/>
        </w:numPr>
        <w:spacing w:line="600" w:lineRule="exact"/>
        <w:ind w:firstLineChars="0"/>
        <w:outlineLvl w:val="1"/>
        <w:rPr>
          <w:rStyle w:val="25"/>
          <w:rFonts w:ascii="黑体" w:hAnsi="黑体" w:eastAsia="黑体"/>
          <w:b w:val="0"/>
        </w:rPr>
      </w:pPr>
      <w:bookmarkStart w:id="33" w:name="_Toc16191"/>
      <w:bookmarkStart w:id="34" w:name="_Toc15377206"/>
      <w:bookmarkStart w:id="35"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33"/>
      <w:bookmarkEnd w:id="34"/>
      <w:bookmarkEnd w:id="35"/>
    </w:p>
    <w:p>
      <w:pPr>
        <w:spacing w:line="600" w:lineRule="exact"/>
        <w:ind w:firstLine="640" w:firstLineChars="200"/>
        <w:outlineLvl w:val="1"/>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rPr>
        <w:t xml:space="preserve"> </w:t>
      </w:r>
      <w:bookmarkStart w:id="36" w:name="_Toc21807"/>
      <w:r>
        <w:rPr>
          <w:rFonts w:hint="eastAsia" w:ascii="仿宋" w:hAnsi="仿宋" w:eastAsia="仿宋"/>
          <w:color w:val="000000"/>
          <w:sz w:val="32"/>
          <w:szCs w:val="32"/>
        </w:rPr>
        <w:t>2019 年本年收入合计1,272.41万元，其中：一般公共预算财政拨款收入1,272.41万元，占 100.00%；政府性基金预算财政拨款收入0.00万元，占 0.00%；上级补助收入0.00万元，占 0.00%；事业收入0.00万元，占 0.00%；经营收入0.00万元，占 0.00%；附属单位上缴收入0.00万元，占 0.00%；其他收入0.00万元，占 0.00%。</w:t>
      </w:r>
      <w:bookmarkEnd w:id="36"/>
    </w:p>
    <w:p>
      <w:pPr>
        <w:spacing w:line="600" w:lineRule="exact"/>
        <w:rPr>
          <w:rFonts w:hint="eastAsia" w:ascii="仿宋" w:hAnsi="仿宋" w:eastAsia="仿宋"/>
          <w:color w:val="000000" w:themeColor="text1"/>
          <w:sz w:val="32"/>
          <w:szCs w:val="32"/>
          <w14:textFill>
            <w14:solidFill>
              <w14:schemeClr w14:val="tx1"/>
            </w14:solidFill>
          </w14:textFill>
        </w:rPr>
      </w:pPr>
      <w:r>
        <w:rPr>
          <w:rFonts w:ascii="仿宋_GB2312" w:eastAsia="仿宋_GB2312"/>
          <w:color w:val="000000"/>
          <w:sz w:val="32"/>
          <w:szCs w:val="32"/>
        </w:rPr>
        <w:drawing>
          <wp:anchor distT="0" distB="0" distL="0" distR="0" simplePos="0" relativeHeight="251660288" behindDoc="0" locked="0" layoutInCell="1" allowOverlap="1">
            <wp:simplePos x="0" y="0"/>
            <wp:positionH relativeFrom="column">
              <wp:posOffset>447675</wp:posOffset>
            </wp:positionH>
            <wp:positionV relativeFrom="paragraph">
              <wp:posOffset>190500</wp:posOffset>
            </wp:positionV>
            <wp:extent cx="3486150" cy="1703705"/>
            <wp:effectExtent l="0" t="0" r="0" b="0"/>
            <wp:wrapSquare wrapText="bothSides"/>
            <wp:docPr id="3" name="对象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（图2：收入决算结构图）（饼状图）</w:t>
      </w:r>
    </w:p>
    <w:p>
      <w:pPr>
        <w:spacing w:line="600" w:lineRule="exact"/>
        <w:ind w:firstLine="640" w:firstLineChars="200"/>
        <w:rPr>
          <w:rFonts w:ascii="仿宋_GB2312" w:eastAsia="仿宋_GB2312"/>
          <w:color w:val="FF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37" w:name="_Toc15377207"/>
      <w:bookmarkStart w:id="38" w:name="_Toc29810"/>
      <w:bookmarkStart w:id="39"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37"/>
      <w:bookmarkEnd w:id="38"/>
      <w:bookmarkEnd w:id="39"/>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2019 年本年支出合计1,295.22万元，其中：基本支出793.81万元，占 61.29%；项目支出501.41万元，占 38.71%；上缴上级支出0.00万元，占 0.00%；经营支出0.00万元，占 0.00%；对附属单位补助支出0.00万元，占 0.00%。</w:t>
      </w:r>
    </w:p>
    <w:p>
      <w:pPr>
        <w:spacing w:line="600" w:lineRule="exact"/>
        <w:rPr>
          <w:rFonts w:hint="eastAsia" w:ascii="仿宋" w:hAnsi="仿宋" w:eastAsia="仿宋"/>
          <w:color w:val="000000"/>
          <w:sz w:val="32"/>
          <w:szCs w:val="32"/>
        </w:rPr>
      </w:pPr>
      <w:r>
        <w:rPr>
          <w:rFonts w:hint="eastAsia" w:ascii="仿宋_GB2312" w:hAnsi="仿宋_GB2312" w:eastAsia="仿宋_GB2312" w:cs="仿宋_GB2312"/>
          <w:color w:val="000000"/>
          <w:sz w:val="32"/>
          <w:szCs w:val="32"/>
        </w:rPr>
        <w:drawing>
          <wp:anchor distT="0" distB="0" distL="0" distR="0" simplePos="0" relativeHeight="251663360" behindDoc="0" locked="0" layoutInCell="1" allowOverlap="1">
            <wp:simplePos x="0" y="0"/>
            <wp:positionH relativeFrom="column">
              <wp:posOffset>895350</wp:posOffset>
            </wp:positionH>
            <wp:positionV relativeFrom="paragraph">
              <wp:posOffset>542925</wp:posOffset>
            </wp:positionV>
            <wp:extent cx="2999105" cy="2020570"/>
            <wp:effectExtent l="0" t="0" r="0" b="0"/>
            <wp:wrapSquare wrapText="bothSides"/>
            <wp:docPr id="2"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Fonts w:hint="eastAsia" w:ascii="黑体" w:hAnsi="黑体" w:eastAsia="黑体"/>
          <w:color w:val="000000"/>
          <w:sz w:val="32"/>
          <w:szCs w:val="32"/>
        </w:rPr>
      </w:pPr>
      <w:bookmarkStart w:id="40" w:name="_Toc9889"/>
      <w:bookmarkStart w:id="41" w:name="_Toc15396606"/>
      <w:bookmarkStart w:id="42" w:name="_Toc15377208"/>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40"/>
      <w:bookmarkEnd w:id="41"/>
      <w:bookmarkEnd w:id="42"/>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 xml:space="preserve"> 2019 年财政拨款收、支总计占1,444.21；万元。与2018年相比，财政拨款收、支总计各增加103.63万元，增长8.70%。主要变动原因</w:t>
      </w:r>
      <w:r>
        <w:rPr>
          <w:rFonts w:hint="eastAsia" w:ascii="仿宋" w:hAnsi="仿宋" w:eastAsia="仿宋"/>
          <w:color w:val="000000"/>
          <w:sz w:val="32"/>
          <w:szCs w:val="32"/>
          <w:lang w:val="en-US" w:eastAsia="zh-CN"/>
        </w:rPr>
        <w:t>是2019年单位项目收支预算增加。</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64384" behindDoc="0" locked="0" layoutInCell="1" allowOverlap="1">
            <wp:simplePos x="0" y="0"/>
            <wp:positionH relativeFrom="column">
              <wp:posOffset>233045</wp:posOffset>
            </wp:positionH>
            <wp:positionV relativeFrom="paragraph">
              <wp:posOffset>347345</wp:posOffset>
            </wp:positionV>
            <wp:extent cx="4947285" cy="2362835"/>
            <wp:effectExtent l="4445" t="4445" r="20320" b="1397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43" w:name="_Toc15396607"/>
      <w:bookmarkStart w:id="44" w:name="_Toc15377209"/>
      <w:bookmarkStart w:id="45" w:name="_Toc1694"/>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43"/>
      <w:bookmarkEnd w:id="44"/>
      <w:bookmarkEnd w:id="45"/>
    </w:p>
    <w:p>
      <w:pPr>
        <w:spacing w:line="600" w:lineRule="exact"/>
        <w:ind w:firstLine="643" w:firstLineChars="200"/>
        <w:outlineLvl w:val="2"/>
        <w:rPr>
          <w:rFonts w:ascii="仿宋" w:hAnsi="仿宋" w:eastAsia="仿宋"/>
          <w:b/>
          <w:color w:val="000000"/>
          <w:sz w:val="32"/>
          <w:szCs w:val="32"/>
        </w:rPr>
      </w:pPr>
      <w:bookmarkStart w:id="46" w:name="_Toc15377210"/>
      <w:r>
        <w:rPr>
          <w:rFonts w:hint="eastAsia" w:ascii="仿宋" w:hAnsi="仿宋" w:eastAsia="仿宋"/>
          <w:b/>
          <w:color w:val="000000"/>
          <w:sz w:val="32"/>
          <w:szCs w:val="32"/>
        </w:rPr>
        <w:t>（一）一般公共预算财政拨款支出决算总体情况</w:t>
      </w:r>
      <w:bookmarkEnd w:id="46"/>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 xml:space="preserve"> 2019 年一般公共预算财政拨款支出1,295.21万元，占本年支出合计的 100.00%。与2018年相比，一般公共预算财政拨款增加 103.63万元，增长8.70%。主要变动原因是</w:t>
      </w:r>
      <w:r>
        <w:rPr>
          <w:rFonts w:hint="eastAsia" w:ascii="仿宋" w:hAnsi="仿宋" w:eastAsia="仿宋"/>
          <w:color w:val="000000"/>
          <w:sz w:val="32"/>
          <w:szCs w:val="32"/>
          <w:lang w:val="en-US" w:eastAsia="zh-CN"/>
        </w:rPr>
        <w:t>2019年单位项目收支预算增加。</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71552" behindDoc="0" locked="0" layoutInCell="1" allowOverlap="1">
            <wp:simplePos x="0" y="0"/>
            <wp:positionH relativeFrom="column">
              <wp:posOffset>175895</wp:posOffset>
            </wp:positionH>
            <wp:positionV relativeFrom="paragraph">
              <wp:posOffset>140970</wp:posOffset>
            </wp:positionV>
            <wp:extent cx="4947285" cy="2362835"/>
            <wp:effectExtent l="4445" t="4445" r="20320" b="1397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47" w:name="_Toc15377211"/>
      <w:r>
        <w:rPr>
          <w:rFonts w:hint="eastAsia" w:ascii="仿宋" w:hAnsi="仿宋" w:eastAsia="仿宋"/>
          <w:b/>
          <w:color w:val="000000"/>
          <w:sz w:val="32"/>
          <w:szCs w:val="32"/>
        </w:rPr>
        <w:t>（二）一般公共预算财政拨款支出决算结构情况</w:t>
      </w:r>
      <w:bookmarkEnd w:id="47"/>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2019年一般公共预算财政拨款支出1,295.21万元，主要用于以下方面:一般公共服务（类）支出0.00万元，占0.00%；外交支出（类）0.00万元，占0.00%，国防支出（类）0.00万元，占0.00%；公共安全支出（类）0.00万元，占0.00%；教育支出（类）0.00万元，占0.00%；科学技术（类）支出0.00万元，占0.00%；文化旅游体育与传媒（类）支出0.00万元，占0.00%；社会保障和就业（类）支出89.88万元，占6.94%；卫生健康支出（类）33.91万元，占2.62%%；节能环保支出（类）0.00万元，占0.00%；城乡社区支出（类）1,124.60万元，占86.83%；农林水支出（类）0.00万元，占0.00%；交通运输支出（类）0.00万元，占0.00%；资源勘探信息等支出（类）0.00万元，占0.00%；商业服务业等支出（类）0.00万元，占0.00%；金融支出（类）0.00万元，占0.00%；援助其他地区支出（类）0.00万元，占0.00%；自然资源海洋气象等支出（类）0.00万元，占0.00%；住房保障支出（类）46.82万元，占3.61%；粮油物资储备支出（类）0.00万元，占0.00%；灾害防治及应急管理支出（类）0.00万元，占0.00%；其他支出（类）0.00万元，占0.00%；债务还本支出（类）0.00万元，占0.00%；债务付息支出（类）0.00万元，占0.00%。</w:t>
      </w:r>
    </w:p>
    <w:p>
      <w:pPr>
        <w:spacing w:line="600" w:lineRule="exact"/>
        <w:ind w:firstLine="640"/>
        <w:rPr>
          <w:rFonts w:hint="eastAsia" w:ascii="仿宋" w:hAnsi="仿宋" w:eastAsia="仿宋"/>
          <w:color w:val="000000"/>
          <w:sz w:val="32"/>
          <w:szCs w:val="32"/>
        </w:rPr>
      </w:pPr>
      <w:r>
        <w:rPr>
          <w:rFonts w:ascii="仿宋_GB2312" w:eastAsia="仿宋_GB2312"/>
          <w:color w:val="000000"/>
          <w:sz w:val="32"/>
          <w:szCs w:val="32"/>
        </w:rPr>
        <w:drawing>
          <wp:anchor distT="0" distB="0" distL="0" distR="0" simplePos="0" relativeHeight="251679744" behindDoc="0" locked="0" layoutInCell="1" allowOverlap="1">
            <wp:simplePos x="0" y="0"/>
            <wp:positionH relativeFrom="column">
              <wp:posOffset>561975</wp:posOffset>
            </wp:positionH>
            <wp:positionV relativeFrom="paragraph">
              <wp:posOffset>342900</wp:posOffset>
            </wp:positionV>
            <wp:extent cx="2999105" cy="2020570"/>
            <wp:effectExtent l="0" t="0" r="0" b="0"/>
            <wp:wrapSquare wrapText="bothSides"/>
            <wp:docPr id="8"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48" w:name="_Toc15377212"/>
      <w:r>
        <w:rPr>
          <w:rFonts w:hint="eastAsia" w:ascii="仿宋" w:hAnsi="仿宋" w:eastAsia="仿宋"/>
          <w:b/>
          <w:color w:val="000000"/>
          <w:sz w:val="32"/>
          <w:szCs w:val="32"/>
          <w:highlight w:val="none"/>
        </w:rPr>
        <w:t>（三）</w:t>
      </w:r>
      <w:r>
        <w:rPr>
          <w:rFonts w:hint="eastAsia" w:ascii="仿宋" w:hAnsi="仿宋" w:eastAsia="仿宋"/>
          <w:b/>
          <w:color w:val="000000"/>
          <w:sz w:val="32"/>
          <w:szCs w:val="32"/>
        </w:rPr>
        <w:t>一般公共预算财政拨款支出决算具体情况</w:t>
      </w:r>
      <w:bookmarkEnd w:id="48"/>
    </w:p>
    <w:p>
      <w:pPr>
        <w:spacing w:line="600" w:lineRule="exact"/>
        <w:ind w:firstLine="640" w:firstLineChars="200"/>
        <w:rPr>
          <w:rStyle w:val="14"/>
          <w:rFonts w:hint="eastAsia" w:ascii="仿宋" w:hAnsi="仿宋" w:eastAsia="仿宋"/>
          <w:b w:val="0"/>
          <w:bCs/>
          <w:color w:val="000000"/>
          <w:sz w:val="32"/>
          <w:szCs w:val="32"/>
        </w:rPr>
      </w:pPr>
      <w:r>
        <w:rPr>
          <w:rStyle w:val="14"/>
          <w:rFonts w:hint="eastAsia" w:ascii="仿宋" w:hAnsi="仿宋" w:eastAsia="仿宋"/>
          <w:b w:val="0"/>
          <w:bCs/>
          <w:color w:val="000000"/>
          <w:sz w:val="32"/>
          <w:szCs w:val="32"/>
        </w:rPr>
        <w:t>2019年一般公共预算支出决算数为1,295.21，完成预算89.68%。其中：</w:t>
      </w:r>
    </w:p>
    <w:p>
      <w:pPr>
        <w:pageBreakBefore w:val="0"/>
        <w:numPr>
          <w:ilvl w:val="0"/>
          <w:numId w:val="0"/>
        </w:numPr>
        <w:kinsoku/>
        <w:wordWrap/>
        <w:overflowPunct/>
        <w:topLinePunct w:val="0"/>
        <w:bidi w:val="0"/>
        <w:spacing w:line="560" w:lineRule="exact"/>
        <w:ind w:firstLine="643" w:firstLineChars="200"/>
        <w:textAlignment w:val="auto"/>
        <w:rPr>
          <w:rStyle w:val="14"/>
          <w:rFonts w:hint="eastAsia" w:ascii="仿宋_GB2312" w:hAnsi="仿宋_GB2312" w:eastAsia="仿宋_GB2312" w:cs="仿宋_GB2312"/>
          <w:b w:val="0"/>
          <w:bCs/>
          <w:color w:val="000000"/>
          <w:sz w:val="32"/>
          <w:szCs w:val="32"/>
        </w:rPr>
      </w:pPr>
      <w:r>
        <w:rPr>
          <w:rStyle w:val="14"/>
          <w:rFonts w:hint="eastAsia" w:ascii="仿宋_GB2312" w:hAnsi="仿宋_GB2312" w:eastAsia="仿宋_GB2312" w:cs="仿宋_GB2312"/>
          <w:bCs/>
          <w:color w:val="000000"/>
          <w:sz w:val="32"/>
          <w:szCs w:val="32"/>
          <w:lang w:val="en-US" w:eastAsia="zh-CN"/>
        </w:rPr>
        <w:t>1.城乡社区支出</w:t>
      </w:r>
      <w:r>
        <w:rPr>
          <w:rStyle w:val="14"/>
          <w:rFonts w:hint="eastAsia" w:ascii="仿宋_GB2312" w:hAnsi="仿宋_GB2312" w:eastAsia="仿宋_GB2312" w:cs="仿宋_GB2312"/>
          <w:bCs/>
          <w:color w:val="000000"/>
          <w:sz w:val="32"/>
          <w:szCs w:val="32"/>
        </w:rPr>
        <w:t>（类）</w:t>
      </w:r>
      <w:r>
        <w:rPr>
          <w:rStyle w:val="14"/>
          <w:rFonts w:hint="eastAsia" w:ascii="仿宋_GB2312" w:hAnsi="仿宋_GB2312" w:eastAsia="仿宋_GB2312" w:cs="仿宋_GB2312"/>
          <w:bCs/>
          <w:color w:val="000000"/>
          <w:sz w:val="32"/>
          <w:szCs w:val="32"/>
          <w:lang w:eastAsia="zh-CN"/>
        </w:rPr>
        <w:t>：</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1124.60</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88.30</w:t>
      </w:r>
      <w:r>
        <w:rPr>
          <w:rStyle w:val="14"/>
          <w:rFonts w:hint="eastAsia" w:ascii="仿宋_GB2312" w:hAnsi="仿宋_GB2312" w:eastAsia="仿宋_GB2312" w:cs="仿宋_GB2312"/>
          <w:b w:val="0"/>
          <w:bCs/>
          <w:color w:val="000000"/>
          <w:sz w:val="32"/>
          <w:szCs w:val="32"/>
        </w:rPr>
        <w:t>%，决算数</w:t>
      </w:r>
      <w:r>
        <w:rPr>
          <w:rStyle w:val="14"/>
          <w:rFonts w:hint="eastAsia" w:ascii="仿宋_GB2312" w:hAnsi="仿宋_GB2312" w:eastAsia="仿宋_GB2312" w:cs="仿宋_GB2312"/>
          <w:b w:val="0"/>
          <w:bCs/>
          <w:color w:val="000000"/>
          <w:sz w:val="32"/>
          <w:szCs w:val="32"/>
          <w:lang w:val="en-US" w:eastAsia="zh-CN"/>
        </w:rPr>
        <w:t>小于</w:t>
      </w:r>
      <w:r>
        <w:rPr>
          <w:rStyle w:val="14"/>
          <w:rFonts w:hint="eastAsia" w:ascii="仿宋_GB2312" w:hAnsi="仿宋_GB2312" w:eastAsia="仿宋_GB2312" w:cs="仿宋_GB2312"/>
          <w:b w:val="0"/>
          <w:bCs/>
          <w:color w:val="000000"/>
          <w:sz w:val="32"/>
          <w:szCs w:val="32"/>
        </w:rPr>
        <w:t>预算数的主要原因是201</w:t>
      </w:r>
      <w:r>
        <w:rPr>
          <w:rStyle w:val="14"/>
          <w:rFonts w:hint="eastAsia" w:ascii="仿宋_GB2312" w:hAnsi="仿宋_GB2312" w:eastAsia="仿宋_GB2312" w:cs="仿宋_GB2312"/>
          <w:b w:val="0"/>
          <w:bCs/>
          <w:color w:val="000000"/>
          <w:sz w:val="32"/>
          <w:szCs w:val="32"/>
          <w:lang w:val="en-US" w:eastAsia="zh-CN"/>
        </w:rPr>
        <w:t>9</w:t>
      </w:r>
      <w:r>
        <w:rPr>
          <w:rStyle w:val="14"/>
          <w:rFonts w:hint="eastAsia" w:ascii="仿宋_GB2312" w:hAnsi="仿宋_GB2312" w:eastAsia="仿宋_GB2312" w:cs="仿宋_GB2312"/>
          <w:b w:val="0"/>
          <w:bCs/>
          <w:color w:val="000000"/>
          <w:sz w:val="32"/>
          <w:szCs w:val="32"/>
        </w:rPr>
        <w:t>年</w:t>
      </w:r>
      <w:r>
        <w:rPr>
          <w:rStyle w:val="14"/>
          <w:rFonts w:hint="eastAsia" w:ascii="仿宋_GB2312" w:hAnsi="仿宋_GB2312" w:eastAsia="仿宋_GB2312" w:cs="仿宋_GB2312"/>
          <w:b w:val="0"/>
          <w:bCs/>
          <w:color w:val="000000"/>
          <w:sz w:val="32"/>
          <w:szCs w:val="32"/>
          <w:lang w:val="en-US" w:eastAsia="zh-CN"/>
        </w:rPr>
        <w:t>度项目支出结转148.99万元至2020年。</w:t>
      </w:r>
    </w:p>
    <w:p>
      <w:pPr>
        <w:pageBreakBefore w:val="0"/>
        <w:numPr>
          <w:ilvl w:val="0"/>
          <w:numId w:val="0"/>
        </w:numPr>
        <w:kinsoku/>
        <w:wordWrap/>
        <w:overflowPunct/>
        <w:topLinePunct w:val="0"/>
        <w:bidi w:val="0"/>
        <w:spacing w:line="560" w:lineRule="exact"/>
        <w:ind w:firstLine="643" w:firstLineChars="200"/>
        <w:textAlignment w:val="auto"/>
        <w:rPr>
          <w:rStyle w:val="14"/>
          <w:rFonts w:hint="eastAsia" w:ascii="仿宋_GB2312" w:hAnsi="仿宋_GB2312" w:eastAsia="仿宋_GB2312" w:cs="仿宋_GB2312"/>
          <w:b w:val="0"/>
          <w:bCs/>
          <w:color w:val="000000"/>
          <w:sz w:val="32"/>
          <w:szCs w:val="32"/>
          <w:lang w:val="en-US" w:eastAsia="zh-CN"/>
        </w:rPr>
      </w:pPr>
      <w:r>
        <w:rPr>
          <w:rStyle w:val="14"/>
          <w:rFonts w:hint="eastAsia" w:ascii="仿宋_GB2312" w:hAnsi="仿宋_GB2312" w:eastAsia="仿宋_GB2312" w:cs="仿宋_GB2312"/>
          <w:bCs/>
          <w:color w:val="000000"/>
          <w:sz w:val="32"/>
          <w:szCs w:val="32"/>
          <w:lang w:val="en-US" w:eastAsia="zh-CN"/>
        </w:rPr>
        <w:t>城乡社区管理事务</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1124.60</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88.30</w:t>
      </w:r>
      <w:r>
        <w:rPr>
          <w:rStyle w:val="14"/>
          <w:rFonts w:hint="eastAsia" w:ascii="仿宋_GB2312" w:hAnsi="仿宋_GB2312" w:eastAsia="仿宋_GB2312" w:cs="仿宋_GB2312"/>
          <w:b w:val="0"/>
          <w:bCs/>
          <w:color w:val="000000"/>
          <w:sz w:val="32"/>
          <w:szCs w:val="32"/>
        </w:rPr>
        <w:t>%，决算数</w:t>
      </w:r>
      <w:r>
        <w:rPr>
          <w:rStyle w:val="14"/>
          <w:rFonts w:hint="eastAsia" w:ascii="仿宋_GB2312" w:hAnsi="仿宋_GB2312" w:eastAsia="仿宋_GB2312" w:cs="仿宋_GB2312"/>
          <w:b w:val="0"/>
          <w:bCs/>
          <w:color w:val="000000"/>
          <w:sz w:val="32"/>
          <w:szCs w:val="32"/>
          <w:lang w:val="en-US" w:eastAsia="zh-CN"/>
        </w:rPr>
        <w:t>小于</w:t>
      </w:r>
      <w:r>
        <w:rPr>
          <w:rStyle w:val="14"/>
          <w:rFonts w:hint="eastAsia" w:ascii="仿宋_GB2312" w:hAnsi="仿宋_GB2312" w:eastAsia="仿宋_GB2312" w:cs="仿宋_GB2312"/>
          <w:b w:val="0"/>
          <w:bCs/>
          <w:color w:val="000000"/>
          <w:sz w:val="32"/>
          <w:szCs w:val="32"/>
        </w:rPr>
        <w:t>预算数的主要原因是201</w:t>
      </w:r>
      <w:r>
        <w:rPr>
          <w:rStyle w:val="14"/>
          <w:rFonts w:hint="eastAsia" w:ascii="仿宋_GB2312" w:hAnsi="仿宋_GB2312" w:eastAsia="仿宋_GB2312" w:cs="仿宋_GB2312"/>
          <w:b w:val="0"/>
          <w:bCs/>
          <w:color w:val="000000"/>
          <w:sz w:val="32"/>
          <w:szCs w:val="32"/>
          <w:lang w:val="en-US" w:eastAsia="zh-CN"/>
        </w:rPr>
        <w:t>9</w:t>
      </w:r>
      <w:r>
        <w:rPr>
          <w:rStyle w:val="14"/>
          <w:rFonts w:hint="eastAsia" w:ascii="仿宋_GB2312" w:hAnsi="仿宋_GB2312" w:eastAsia="仿宋_GB2312" w:cs="仿宋_GB2312"/>
          <w:b w:val="0"/>
          <w:bCs/>
          <w:color w:val="000000"/>
          <w:sz w:val="32"/>
          <w:szCs w:val="32"/>
        </w:rPr>
        <w:t>年</w:t>
      </w:r>
      <w:r>
        <w:rPr>
          <w:rStyle w:val="14"/>
          <w:rFonts w:hint="eastAsia" w:ascii="仿宋_GB2312" w:hAnsi="仿宋_GB2312" w:eastAsia="仿宋_GB2312" w:cs="仿宋_GB2312"/>
          <w:b w:val="0"/>
          <w:bCs/>
          <w:color w:val="000000"/>
          <w:sz w:val="32"/>
          <w:szCs w:val="32"/>
          <w:lang w:val="en-US" w:eastAsia="zh-CN"/>
        </w:rPr>
        <w:t>度项目支出结转148.99万元至2020年。</w:t>
      </w:r>
    </w:p>
    <w:p>
      <w:pPr>
        <w:pageBreakBefore w:val="0"/>
        <w:numPr>
          <w:ilvl w:val="0"/>
          <w:numId w:val="0"/>
        </w:numPr>
        <w:kinsoku/>
        <w:wordWrap/>
        <w:overflowPunct/>
        <w:topLinePunct w:val="0"/>
        <w:bidi w:val="0"/>
        <w:spacing w:line="560" w:lineRule="exact"/>
        <w:ind w:firstLine="643" w:firstLineChars="200"/>
        <w:textAlignment w:val="auto"/>
        <w:rPr>
          <w:rStyle w:val="14"/>
          <w:rFonts w:hint="eastAsia" w:ascii="仿宋_GB2312" w:hAnsi="仿宋_GB2312" w:eastAsia="仿宋_GB2312" w:cs="仿宋_GB2312"/>
          <w:b w:val="0"/>
          <w:bCs/>
          <w:color w:val="000000"/>
          <w:sz w:val="32"/>
          <w:szCs w:val="32"/>
          <w:lang w:val="en-US" w:eastAsia="zh-CN"/>
        </w:rPr>
      </w:pPr>
      <w:r>
        <w:rPr>
          <w:rStyle w:val="14"/>
          <w:rFonts w:hint="eastAsia" w:ascii="仿宋_GB2312" w:hAnsi="仿宋_GB2312" w:eastAsia="仿宋_GB2312" w:cs="仿宋_GB2312"/>
          <w:bCs/>
          <w:color w:val="000000"/>
          <w:sz w:val="32"/>
          <w:szCs w:val="32"/>
          <w:lang w:val="en-US" w:eastAsia="zh-CN"/>
        </w:rPr>
        <w:t>行政运行</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623.20</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pageBreakBefore w:val="0"/>
        <w:numPr>
          <w:ilvl w:val="0"/>
          <w:numId w:val="0"/>
        </w:numPr>
        <w:kinsoku/>
        <w:wordWrap/>
        <w:overflowPunct/>
        <w:topLinePunct w:val="0"/>
        <w:bidi w:val="0"/>
        <w:spacing w:line="560" w:lineRule="exact"/>
        <w:ind w:firstLine="643" w:firstLineChars="200"/>
        <w:textAlignment w:val="auto"/>
        <w:rPr>
          <w:rStyle w:val="14"/>
          <w:rFonts w:hint="eastAsia" w:ascii="仿宋_GB2312" w:hAnsi="仿宋_GB2312" w:eastAsia="仿宋_GB2312" w:cs="仿宋_GB2312"/>
          <w:b w:val="0"/>
          <w:bCs/>
          <w:color w:val="000000"/>
          <w:sz w:val="32"/>
          <w:szCs w:val="32"/>
        </w:rPr>
      </w:pPr>
      <w:r>
        <w:rPr>
          <w:rStyle w:val="14"/>
          <w:rFonts w:hint="eastAsia" w:ascii="仿宋_GB2312" w:hAnsi="仿宋_GB2312" w:eastAsia="仿宋_GB2312" w:cs="仿宋_GB2312"/>
          <w:bCs/>
          <w:color w:val="000000"/>
          <w:sz w:val="32"/>
          <w:szCs w:val="32"/>
          <w:lang w:val="en-US" w:eastAsia="zh-CN"/>
        </w:rPr>
        <w:t>一般行政管理事务（项）：</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501.41</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77.09</w:t>
      </w:r>
      <w:r>
        <w:rPr>
          <w:rStyle w:val="14"/>
          <w:rFonts w:hint="eastAsia" w:ascii="仿宋_GB2312" w:hAnsi="仿宋_GB2312" w:eastAsia="仿宋_GB2312" w:cs="仿宋_GB2312"/>
          <w:b w:val="0"/>
          <w:bCs/>
          <w:color w:val="000000"/>
          <w:sz w:val="32"/>
          <w:szCs w:val="32"/>
        </w:rPr>
        <w:t>%，决算数</w:t>
      </w:r>
      <w:r>
        <w:rPr>
          <w:rStyle w:val="14"/>
          <w:rFonts w:hint="eastAsia" w:ascii="仿宋_GB2312" w:hAnsi="仿宋_GB2312" w:eastAsia="仿宋_GB2312" w:cs="仿宋_GB2312"/>
          <w:b w:val="0"/>
          <w:bCs/>
          <w:color w:val="000000"/>
          <w:sz w:val="32"/>
          <w:szCs w:val="32"/>
          <w:lang w:val="en-US" w:eastAsia="zh-CN"/>
        </w:rPr>
        <w:t>小于</w:t>
      </w:r>
      <w:r>
        <w:rPr>
          <w:rStyle w:val="14"/>
          <w:rFonts w:hint="eastAsia" w:ascii="仿宋_GB2312" w:hAnsi="仿宋_GB2312" w:eastAsia="仿宋_GB2312" w:cs="仿宋_GB2312"/>
          <w:b w:val="0"/>
          <w:bCs/>
          <w:color w:val="000000"/>
          <w:sz w:val="32"/>
          <w:szCs w:val="32"/>
        </w:rPr>
        <w:t>预算数的主要原因是201</w:t>
      </w:r>
      <w:r>
        <w:rPr>
          <w:rStyle w:val="14"/>
          <w:rFonts w:hint="eastAsia" w:ascii="仿宋_GB2312" w:hAnsi="仿宋_GB2312" w:eastAsia="仿宋_GB2312" w:cs="仿宋_GB2312"/>
          <w:b w:val="0"/>
          <w:bCs/>
          <w:color w:val="000000"/>
          <w:sz w:val="32"/>
          <w:szCs w:val="32"/>
          <w:lang w:val="en-US" w:eastAsia="zh-CN"/>
        </w:rPr>
        <w:t>9</w:t>
      </w:r>
      <w:r>
        <w:rPr>
          <w:rStyle w:val="14"/>
          <w:rFonts w:hint="eastAsia" w:ascii="仿宋_GB2312" w:hAnsi="仿宋_GB2312" w:eastAsia="仿宋_GB2312" w:cs="仿宋_GB2312"/>
          <w:b w:val="0"/>
          <w:bCs/>
          <w:color w:val="000000"/>
          <w:sz w:val="32"/>
          <w:szCs w:val="32"/>
        </w:rPr>
        <w:t>年</w:t>
      </w:r>
      <w:r>
        <w:rPr>
          <w:rStyle w:val="14"/>
          <w:rFonts w:hint="eastAsia" w:ascii="仿宋_GB2312" w:hAnsi="仿宋_GB2312" w:eastAsia="仿宋_GB2312" w:cs="仿宋_GB2312"/>
          <w:b w:val="0"/>
          <w:bCs/>
          <w:color w:val="000000"/>
          <w:sz w:val="32"/>
          <w:szCs w:val="32"/>
          <w:lang w:val="en-US" w:eastAsia="zh-CN"/>
        </w:rPr>
        <w:t>度项目支出结转148.99万元至2020年。</w:t>
      </w:r>
    </w:p>
    <w:p>
      <w:pPr>
        <w:pageBreakBefore w:val="0"/>
        <w:numPr>
          <w:ilvl w:val="0"/>
          <w:numId w:val="0"/>
        </w:numPr>
        <w:kinsoku/>
        <w:wordWrap/>
        <w:overflowPunct/>
        <w:topLinePunct w:val="0"/>
        <w:bidi w:val="0"/>
        <w:spacing w:line="560" w:lineRule="exact"/>
        <w:ind w:firstLine="643" w:firstLineChars="200"/>
        <w:textAlignment w:val="auto"/>
        <w:rPr>
          <w:rStyle w:val="14"/>
          <w:rFonts w:hint="eastAsia" w:ascii="仿宋_GB2312" w:hAnsi="仿宋_GB2312" w:eastAsia="仿宋_GB2312" w:cs="仿宋_GB2312"/>
          <w:bCs/>
          <w:color w:val="000000"/>
          <w:sz w:val="32"/>
          <w:szCs w:val="32"/>
          <w:lang w:val="en-US" w:eastAsia="zh-CN"/>
        </w:rPr>
      </w:pPr>
      <w:r>
        <w:rPr>
          <w:rStyle w:val="14"/>
          <w:rFonts w:hint="eastAsia" w:ascii="仿宋_GB2312" w:hAnsi="仿宋_GB2312" w:eastAsia="仿宋_GB2312" w:cs="仿宋_GB2312"/>
          <w:bCs/>
          <w:color w:val="000000"/>
          <w:sz w:val="32"/>
          <w:szCs w:val="32"/>
          <w:lang w:val="en-US" w:eastAsia="zh-CN"/>
        </w:rPr>
        <w:t>2.</w:t>
      </w:r>
      <w:r>
        <w:rPr>
          <w:rStyle w:val="14"/>
          <w:rFonts w:hint="eastAsia" w:ascii="仿宋_GB2312" w:hAnsi="仿宋_GB2312" w:eastAsia="仿宋_GB2312" w:cs="仿宋_GB2312"/>
          <w:bCs/>
          <w:color w:val="000000"/>
          <w:sz w:val="32"/>
          <w:szCs w:val="32"/>
        </w:rPr>
        <w:t>社会保障和就业（类）</w:t>
      </w:r>
      <w:r>
        <w:rPr>
          <w:rStyle w:val="14"/>
          <w:rFonts w:hint="eastAsia" w:ascii="仿宋_GB2312" w:hAnsi="仿宋_GB2312" w:eastAsia="仿宋_GB2312" w:cs="仿宋_GB2312"/>
          <w:bCs/>
          <w:color w:val="000000"/>
          <w:sz w:val="32"/>
          <w:szCs w:val="32"/>
          <w:lang w:val="en-US" w:eastAsia="zh-CN"/>
        </w:rPr>
        <w:t>：</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89.88</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pageBreakBefore w:val="0"/>
        <w:numPr>
          <w:ilvl w:val="0"/>
          <w:numId w:val="0"/>
        </w:numPr>
        <w:kinsoku/>
        <w:wordWrap/>
        <w:overflowPunct/>
        <w:topLinePunct w:val="0"/>
        <w:bidi w:val="0"/>
        <w:spacing w:line="560" w:lineRule="exact"/>
        <w:ind w:firstLine="643" w:firstLineChars="200"/>
        <w:textAlignment w:val="auto"/>
        <w:rPr>
          <w:rStyle w:val="14"/>
          <w:rFonts w:hint="eastAsia" w:ascii="仿宋_GB2312" w:hAnsi="仿宋_GB2312" w:eastAsia="仿宋_GB2312" w:cs="仿宋_GB2312"/>
          <w:bCs/>
          <w:color w:val="000000"/>
          <w:sz w:val="32"/>
          <w:szCs w:val="32"/>
          <w:lang w:val="en-US" w:eastAsia="zh-CN"/>
        </w:rPr>
      </w:pPr>
      <w:r>
        <w:rPr>
          <w:rStyle w:val="14"/>
          <w:rFonts w:hint="eastAsia" w:ascii="仿宋_GB2312" w:hAnsi="仿宋_GB2312" w:eastAsia="仿宋_GB2312" w:cs="仿宋_GB2312"/>
          <w:bCs/>
          <w:color w:val="000000"/>
          <w:sz w:val="32"/>
          <w:szCs w:val="32"/>
          <w:lang w:val="en-US" w:eastAsia="zh-CN"/>
        </w:rPr>
        <w:t>行政事业单位离退休</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val="en-US" w:eastAsia="zh-CN"/>
        </w:rPr>
        <w:t>：</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89.88</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pageBreakBefore w:val="0"/>
        <w:numPr>
          <w:ilvl w:val="0"/>
          <w:numId w:val="0"/>
        </w:numPr>
        <w:kinsoku/>
        <w:wordWrap/>
        <w:overflowPunct/>
        <w:topLinePunct w:val="0"/>
        <w:bidi w:val="0"/>
        <w:spacing w:line="560" w:lineRule="exact"/>
        <w:ind w:firstLine="643" w:firstLineChars="200"/>
        <w:textAlignment w:val="auto"/>
        <w:rPr>
          <w:rStyle w:val="14"/>
          <w:rFonts w:hint="eastAsia" w:ascii="仿宋_GB2312" w:hAnsi="仿宋_GB2312" w:eastAsia="仿宋_GB2312" w:cs="仿宋_GB2312"/>
          <w:b w:val="0"/>
          <w:bCs/>
          <w:color w:val="000000"/>
          <w:sz w:val="32"/>
          <w:szCs w:val="32"/>
          <w:lang w:val="en-US" w:eastAsia="zh-CN"/>
        </w:rPr>
      </w:pPr>
      <w:r>
        <w:rPr>
          <w:rStyle w:val="14"/>
          <w:rFonts w:hint="eastAsia" w:ascii="仿宋_GB2312" w:hAnsi="仿宋_GB2312" w:eastAsia="仿宋_GB2312" w:cs="仿宋_GB2312"/>
          <w:bCs/>
          <w:color w:val="000000"/>
          <w:sz w:val="32"/>
          <w:szCs w:val="32"/>
          <w:lang w:val="en-US" w:eastAsia="zh-CN"/>
        </w:rPr>
        <w:t>机关事业单位基本养老保险缴费支出</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Cs/>
          <w:color w:val="000000"/>
          <w:sz w:val="32"/>
          <w:szCs w:val="32"/>
          <w:lang w:val="en-US" w:eastAsia="zh-CN"/>
        </w:rPr>
        <w:t>：</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51.79</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pageBreakBefore w:val="0"/>
        <w:numPr>
          <w:ilvl w:val="0"/>
          <w:numId w:val="0"/>
        </w:numPr>
        <w:kinsoku/>
        <w:wordWrap/>
        <w:overflowPunct/>
        <w:topLinePunct w:val="0"/>
        <w:bidi w:val="0"/>
        <w:spacing w:line="560" w:lineRule="exact"/>
        <w:ind w:firstLine="643" w:firstLineChars="200"/>
        <w:textAlignment w:val="auto"/>
        <w:rPr>
          <w:rStyle w:val="14"/>
          <w:rFonts w:hint="eastAsia" w:ascii="仿宋_GB2312" w:hAnsi="仿宋_GB2312" w:eastAsia="仿宋_GB2312" w:cs="仿宋_GB2312"/>
          <w:bCs/>
          <w:color w:val="000000"/>
          <w:sz w:val="32"/>
          <w:szCs w:val="32"/>
          <w:lang w:val="en-US" w:eastAsia="zh-CN"/>
        </w:rPr>
      </w:pPr>
      <w:r>
        <w:rPr>
          <w:rStyle w:val="14"/>
          <w:rFonts w:hint="eastAsia" w:ascii="仿宋_GB2312" w:hAnsi="仿宋_GB2312" w:eastAsia="仿宋_GB2312" w:cs="仿宋_GB2312"/>
          <w:bCs/>
          <w:color w:val="000000"/>
          <w:sz w:val="32"/>
          <w:szCs w:val="32"/>
          <w:lang w:val="en-US" w:eastAsia="zh-CN"/>
        </w:rPr>
        <w:t>机关事业单位职业年金缴费支出（项）：</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38.09</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pageBreakBefore w:val="0"/>
        <w:numPr>
          <w:ilvl w:val="0"/>
          <w:numId w:val="0"/>
        </w:numPr>
        <w:kinsoku/>
        <w:wordWrap/>
        <w:overflowPunct/>
        <w:topLinePunct w:val="0"/>
        <w:bidi w:val="0"/>
        <w:spacing w:line="560" w:lineRule="exact"/>
        <w:ind w:firstLine="643" w:firstLineChars="200"/>
        <w:textAlignment w:val="auto"/>
        <w:rPr>
          <w:rStyle w:val="14"/>
          <w:rFonts w:hint="eastAsia" w:ascii="仿宋_GB2312" w:hAnsi="仿宋_GB2312" w:eastAsia="仿宋_GB2312" w:cs="仿宋_GB2312"/>
          <w:bCs/>
          <w:color w:val="000000"/>
          <w:sz w:val="32"/>
          <w:szCs w:val="32"/>
          <w:lang w:eastAsia="zh-CN"/>
        </w:rPr>
      </w:pPr>
      <w:r>
        <w:rPr>
          <w:rStyle w:val="14"/>
          <w:rFonts w:hint="eastAsia" w:ascii="仿宋_GB2312" w:hAnsi="仿宋_GB2312" w:eastAsia="仿宋_GB2312" w:cs="仿宋_GB2312"/>
          <w:bCs/>
          <w:color w:val="000000"/>
          <w:sz w:val="32"/>
          <w:szCs w:val="32"/>
          <w:lang w:val="en-US" w:eastAsia="zh-CN"/>
        </w:rPr>
        <w:t>3.</w:t>
      </w:r>
      <w:r>
        <w:rPr>
          <w:rStyle w:val="14"/>
          <w:rFonts w:hint="eastAsia" w:ascii="仿宋_GB2312" w:hAnsi="仿宋_GB2312" w:eastAsia="仿宋_GB2312" w:cs="仿宋_GB2312"/>
          <w:bCs/>
          <w:color w:val="000000"/>
          <w:sz w:val="32"/>
          <w:szCs w:val="32"/>
        </w:rPr>
        <w:t>卫生</w:t>
      </w:r>
      <w:r>
        <w:rPr>
          <w:rStyle w:val="14"/>
          <w:rFonts w:hint="eastAsia" w:ascii="仿宋_GB2312" w:hAnsi="仿宋_GB2312" w:eastAsia="仿宋_GB2312" w:cs="仿宋_GB2312"/>
          <w:bCs/>
          <w:color w:val="000000"/>
          <w:sz w:val="32"/>
          <w:szCs w:val="32"/>
          <w:lang w:val="en-US" w:eastAsia="zh-CN"/>
        </w:rPr>
        <w:t>健康支出</w:t>
      </w:r>
      <w:r>
        <w:rPr>
          <w:rStyle w:val="14"/>
          <w:rFonts w:hint="eastAsia" w:ascii="仿宋_GB2312" w:hAnsi="仿宋_GB2312" w:eastAsia="仿宋_GB2312" w:cs="仿宋_GB2312"/>
          <w:bCs/>
          <w:color w:val="000000"/>
          <w:sz w:val="32"/>
          <w:szCs w:val="32"/>
        </w:rPr>
        <w:t>（类）</w:t>
      </w:r>
      <w:r>
        <w:rPr>
          <w:rStyle w:val="14"/>
          <w:rFonts w:hint="eastAsia" w:ascii="仿宋_GB2312" w:hAnsi="仿宋_GB2312" w:eastAsia="仿宋_GB2312" w:cs="仿宋_GB2312"/>
          <w:bCs/>
          <w:color w:val="000000"/>
          <w:sz w:val="32"/>
          <w:szCs w:val="32"/>
          <w:lang w:val="en-US" w:eastAsia="zh-CN"/>
        </w:rPr>
        <w:t>：</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33.91</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pageBreakBefore w:val="0"/>
        <w:numPr>
          <w:ilvl w:val="0"/>
          <w:numId w:val="0"/>
        </w:numPr>
        <w:kinsoku/>
        <w:wordWrap/>
        <w:overflowPunct/>
        <w:topLinePunct w:val="0"/>
        <w:bidi w:val="0"/>
        <w:spacing w:line="560" w:lineRule="exact"/>
        <w:ind w:firstLine="643" w:firstLineChars="200"/>
        <w:textAlignment w:val="auto"/>
        <w:rPr>
          <w:rStyle w:val="14"/>
          <w:rFonts w:hint="eastAsia" w:ascii="仿宋_GB2312" w:hAnsi="仿宋_GB2312" w:eastAsia="仿宋_GB2312" w:cs="仿宋_GB2312"/>
          <w:bCs/>
          <w:color w:val="000000"/>
          <w:sz w:val="32"/>
          <w:szCs w:val="32"/>
        </w:rPr>
      </w:pPr>
      <w:r>
        <w:rPr>
          <w:rStyle w:val="14"/>
          <w:rFonts w:hint="eastAsia" w:ascii="仿宋_GB2312" w:hAnsi="仿宋_GB2312" w:eastAsia="仿宋_GB2312" w:cs="仿宋_GB2312"/>
          <w:bCs/>
          <w:color w:val="000000"/>
          <w:sz w:val="32"/>
          <w:szCs w:val="32"/>
          <w:lang w:val="en-US" w:eastAsia="zh-CN"/>
        </w:rPr>
        <w:t>行政事业单位医疗</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val="en-US" w:eastAsia="zh-CN"/>
        </w:rPr>
        <w:t>：</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33.91</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pageBreakBefore w:val="0"/>
        <w:numPr>
          <w:ilvl w:val="0"/>
          <w:numId w:val="0"/>
        </w:numPr>
        <w:kinsoku/>
        <w:wordWrap/>
        <w:overflowPunct/>
        <w:topLinePunct w:val="0"/>
        <w:bidi w:val="0"/>
        <w:spacing w:line="560" w:lineRule="exact"/>
        <w:ind w:firstLine="643" w:firstLineChars="200"/>
        <w:textAlignment w:val="auto"/>
        <w:rPr>
          <w:rStyle w:val="14"/>
          <w:rFonts w:hint="eastAsia" w:ascii="仿宋_GB2312" w:hAnsi="仿宋_GB2312" w:eastAsia="仿宋_GB2312" w:cs="仿宋_GB2312"/>
          <w:b w:val="0"/>
          <w:bCs/>
          <w:color w:val="000000"/>
          <w:sz w:val="32"/>
          <w:szCs w:val="32"/>
          <w:lang w:val="en-US" w:eastAsia="zh-CN"/>
        </w:rPr>
      </w:pPr>
      <w:r>
        <w:rPr>
          <w:rStyle w:val="14"/>
          <w:rFonts w:hint="eastAsia" w:ascii="仿宋_GB2312" w:hAnsi="仿宋_GB2312" w:eastAsia="仿宋_GB2312" w:cs="仿宋_GB2312"/>
          <w:bCs/>
          <w:color w:val="000000"/>
          <w:sz w:val="32"/>
          <w:szCs w:val="32"/>
          <w:lang w:val="en-US" w:eastAsia="zh-CN"/>
        </w:rPr>
        <w:t>行政单位医疗</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Cs/>
          <w:color w:val="000000"/>
          <w:sz w:val="32"/>
          <w:szCs w:val="32"/>
          <w:lang w:val="en-US" w:eastAsia="zh-CN"/>
        </w:rPr>
        <w:t>：</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28.90</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pageBreakBefore w:val="0"/>
        <w:numPr>
          <w:ilvl w:val="0"/>
          <w:numId w:val="0"/>
        </w:numPr>
        <w:kinsoku/>
        <w:wordWrap/>
        <w:overflowPunct/>
        <w:topLinePunct w:val="0"/>
        <w:bidi w:val="0"/>
        <w:spacing w:line="560" w:lineRule="exact"/>
        <w:ind w:firstLine="643" w:firstLineChars="200"/>
        <w:textAlignment w:val="auto"/>
        <w:rPr>
          <w:rStyle w:val="14"/>
          <w:rFonts w:hint="eastAsia" w:ascii="仿宋_GB2312" w:hAnsi="仿宋_GB2312" w:eastAsia="仿宋_GB2312" w:cs="仿宋_GB2312"/>
          <w:b w:val="0"/>
          <w:bCs/>
          <w:color w:val="000000"/>
          <w:sz w:val="32"/>
          <w:szCs w:val="32"/>
          <w:lang w:val="en-US" w:eastAsia="zh-CN"/>
        </w:rPr>
      </w:pPr>
      <w:r>
        <w:rPr>
          <w:rStyle w:val="14"/>
          <w:rFonts w:hint="eastAsia" w:ascii="仿宋_GB2312" w:hAnsi="仿宋_GB2312" w:eastAsia="仿宋_GB2312" w:cs="仿宋_GB2312"/>
          <w:bCs/>
          <w:color w:val="000000"/>
          <w:sz w:val="32"/>
          <w:szCs w:val="32"/>
          <w:lang w:val="en-US" w:eastAsia="zh-CN"/>
        </w:rPr>
        <w:t>公务员医疗补助（项）：</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5.01</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pageBreakBefore w:val="0"/>
        <w:numPr>
          <w:ilvl w:val="0"/>
          <w:numId w:val="0"/>
        </w:numPr>
        <w:kinsoku/>
        <w:wordWrap/>
        <w:overflowPunct/>
        <w:topLinePunct w:val="0"/>
        <w:bidi w:val="0"/>
        <w:spacing w:line="560" w:lineRule="exact"/>
        <w:ind w:firstLine="643" w:firstLineChars="200"/>
        <w:textAlignment w:val="auto"/>
        <w:rPr>
          <w:rStyle w:val="14"/>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color w:val="000000"/>
          <w:sz w:val="32"/>
          <w:szCs w:val="32"/>
          <w:lang w:val="en-US" w:eastAsia="zh-CN"/>
        </w:rPr>
        <w:t>4.住房保障支出（类）：</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46.82</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pageBreakBefore w:val="0"/>
        <w:numPr>
          <w:ilvl w:val="0"/>
          <w:numId w:val="0"/>
        </w:numPr>
        <w:kinsoku/>
        <w:wordWrap/>
        <w:overflowPunct/>
        <w:topLinePunct w:val="0"/>
        <w:bidi w:val="0"/>
        <w:spacing w:line="560" w:lineRule="exact"/>
        <w:ind w:firstLine="643" w:firstLineChars="200"/>
        <w:textAlignment w:val="auto"/>
        <w:rPr>
          <w:rStyle w:val="14"/>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color w:val="000000"/>
          <w:sz w:val="32"/>
          <w:szCs w:val="32"/>
          <w:lang w:val="en-US" w:eastAsia="zh-CN"/>
        </w:rPr>
        <w:t>住房改革支出（款）：</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46.82</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pageBreakBefore w:val="0"/>
        <w:numPr>
          <w:ilvl w:val="0"/>
          <w:numId w:val="0"/>
        </w:numPr>
        <w:kinsoku/>
        <w:wordWrap/>
        <w:overflowPunct/>
        <w:topLinePunct w:val="0"/>
        <w:bidi w:val="0"/>
        <w:spacing w:line="560" w:lineRule="exact"/>
        <w:ind w:firstLine="643" w:firstLineChars="200"/>
        <w:textAlignment w:val="auto"/>
        <w:rPr>
          <w:rStyle w:val="14"/>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color w:val="000000"/>
          <w:sz w:val="32"/>
          <w:szCs w:val="32"/>
          <w:lang w:val="en-US" w:eastAsia="zh-CN"/>
        </w:rPr>
        <w:t>住房公积金（项）：</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46.82</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tabs>
          <w:tab w:val="right" w:pos="8306"/>
        </w:tabs>
        <w:spacing w:line="600" w:lineRule="exact"/>
        <w:ind w:firstLine="640"/>
        <w:outlineLvl w:val="1"/>
        <w:rPr>
          <w:rStyle w:val="25"/>
        </w:rPr>
      </w:pPr>
      <w:bookmarkStart w:id="49" w:name="_Toc15377214"/>
      <w:bookmarkStart w:id="50" w:name="_Toc15396608"/>
      <w:bookmarkStart w:id="51" w:name="_Toc20405"/>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9"/>
      <w:bookmarkEnd w:id="50"/>
      <w:bookmarkEnd w:id="51"/>
      <w:r>
        <w:rPr>
          <w:rStyle w:val="25"/>
          <w:rFonts w:ascii="黑体" w:hAnsi="黑体" w:eastAsia="黑体"/>
          <w:b w:val="0"/>
        </w:rPr>
        <w:tab/>
      </w:r>
    </w:p>
    <w:p>
      <w:pPr>
        <w:spacing w:line="600" w:lineRule="exact"/>
        <w:ind w:firstLine="640" w:firstLineChars="200"/>
        <w:outlineLvl w:val="1"/>
        <w:rPr>
          <w:rFonts w:hint="eastAsia" w:ascii="仿宋_GB2312" w:hAnsi="仿宋_GB2312" w:eastAsia="仿宋_GB2312" w:cs="仿宋_GB2312"/>
          <w:color w:val="000000"/>
          <w:sz w:val="32"/>
          <w:szCs w:val="32"/>
        </w:rPr>
      </w:pPr>
      <w:bookmarkStart w:id="52" w:name="_Toc4920"/>
      <w:bookmarkStart w:id="53" w:name="_Toc15377215"/>
      <w:bookmarkStart w:id="54" w:name="_Toc15396609"/>
      <w:r>
        <w:rPr>
          <w:rFonts w:hint="eastAsia" w:ascii="仿宋_GB2312" w:hAnsi="仿宋_GB2312" w:eastAsia="仿宋_GB2312" w:cs="仿宋_GB2312"/>
          <w:color w:val="000000"/>
          <w:sz w:val="32"/>
          <w:szCs w:val="32"/>
        </w:rPr>
        <w:t>人员经费663.63万元，主要包括：基本工资、津贴补贴、奖金、伙食补助费、绩效工资、机关事业单位基本养老保险缴费、职业年金缴费、 其 他社会保障缴费、其他工资福利支出、离休费、退休费、抚恤金、生活补助、医疗费补助、奖励金、住房公积金、其他对个人和家庭的补助支出等。</w:t>
      </w:r>
      <w:bookmarkEnd w:id="52"/>
    </w:p>
    <w:p>
      <w:pPr>
        <w:spacing w:line="600" w:lineRule="exact"/>
        <w:ind w:firstLine="640" w:firstLineChars="200"/>
        <w:outlineLvl w:val="1"/>
        <w:rPr>
          <w:rFonts w:hint="eastAsia" w:ascii="仿宋_GB2312" w:hAnsi="仿宋_GB2312" w:eastAsia="仿宋_GB2312" w:cs="仿宋_GB2312"/>
          <w:color w:val="000000"/>
          <w:sz w:val="32"/>
          <w:szCs w:val="32"/>
        </w:rPr>
      </w:pPr>
      <w:bookmarkStart w:id="55" w:name="_Toc7818"/>
      <w:r>
        <w:rPr>
          <w:rFonts w:hint="eastAsia" w:ascii="仿宋_GB2312" w:hAnsi="仿宋_GB2312" w:eastAsia="仿宋_GB2312" w:cs="仿宋_GB2312"/>
          <w:color w:val="000000"/>
          <w:sz w:val="32"/>
          <w:szCs w:val="32"/>
        </w:rPr>
        <w:t>日常公用经费130.16万元，主要包括：办公费、印刷费、咨询费、手续费、水费、电费、邮电费、取暖费、物业管理费、差旅费、因公出国 （境）费用、维修（护）费、租赁费、会议费、培训费、公务接待费、劳务费、委托业务费、工会经费、福利费、公务用车运行维护费、其他交通费、税金及附加费 用、其他商品和服务支出、办公设备购置、专用设备购置、信息网络及软件购置更新、其他资本性支出等。</w:t>
      </w:r>
      <w:bookmarkEnd w:id="55"/>
    </w:p>
    <w:p>
      <w:pPr>
        <w:spacing w:line="600" w:lineRule="exact"/>
        <w:ind w:firstLine="640"/>
        <w:outlineLvl w:val="1"/>
        <w:rPr>
          <w:rStyle w:val="25"/>
          <w:rFonts w:ascii="黑体" w:hAnsi="黑体" w:eastAsia="黑体"/>
          <w:b w:val="0"/>
        </w:rPr>
      </w:pPr>
      <w:bookmarkStart w:id="56" w:name="_Toc932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53"/>
      <w:bookmarkEnd w:id="54"/>
      <w:bookmarkEnd w:id="56"/>
    </w:p>
    <w:p>
      <w:pPr>
        <w:spacing w:line="600" w:lineRule="exact"/>
        <w:ind w:firstLine="640"/>
        <w:outlineLvl w:val="2"/>
        <w:rPr>
          <w:rFonts w:hint="eastAsia" w:ascii="楷体_GB2312" w:hAnsi="楷体_GB2312" w:eastAsia="楷体_GB2312" w:cs="楷体_GB2312"/>
          <w:b/>
          <w:color w:val="000000"/>
          <w:sz w:val="32"/>
          <w:szCs w:val="32"/>
        </w:rPr>
      </w:pPr>
      <w:bookmarkStart w:id="57" w:name="_Toc15377216"/>
      <w:r>
        <w:rPr>
          <w:rFonts w:hint="eastAsia" w:ascii="楷体_GB2312" w:hAnsi="楷体_GB2312" w:eastAsia="楷体_GB2312" w:cs="楷体_GB2312"/>
          <w:b/>
          <w:color w:val="000000"/>
          <w:sz w:val="32"/>
          <w:szCs w:val="32"/>
        </w:rPr>
        <w:t>（一）“三公”经费财政拨款支出决算总体情况说明</w:t>
      </w:r>
      <w:bookmarkEnd w:id="57"/>
    </w:p>
    <w:p>
      <w:pPr>
        <w:spacing w:line="600" w:lineRule="exact"/>
        <w:ind w:firstLine="640" w:firstLineChars="200"/>
        <w:rPr>
          <w:rFonts w:hint="default" w:ascii="仿宋" w:hAnsi="仿宋" w:eastAsia="仿宋"/>
          <w:b/>
          <w:color w:val="FF0000"/>
          <w:sz w:val="32"/>
          <w:szCs w:val="32"/>
          <w:lang w:val="en-US" w:eastAsia="zh-CN"/>
        </w:rPr>
      </w:pPr>
      <w:r>
        <w:rPr>
          <w:rFonts w:hint="eastAsia" w:ascii="仿宋" w:hAnsi="仿宋" w:eastAsia="仿宋"/>
          <w:color w:val="000000"/>
          <w:sz w:val="32"/>
          <w:szCs w:val="32"/>
        </w:rPr>
        <w:t>2019年“三公”经费财政拨款支出决算为66.37万元，完成预算</w:t>
      </w:r>
      <w:r>
        <w:rPr>
          <w:rFonts w:hint="eastAsia" w:ascii="仿宋" w:hAnsi="仿宋" w:eastAsia="仿宋"/>
          <w:color w:val="000000"/>
          <w:sz w:val="32"/>
          <w:szCs w:val="32"/>
          <w:lang w:val="en-US" w:eastAsia="zh-CN"/>
        </w:rPr>
        <w:t>100</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决算数</w:t>
      </w:r>
      <w:r>
        <w:rPr>
          <w:rFonts w:hint="eastAsia" w:ascii="仿宋" w:hAnsi="仿宋" w:eastAsia="仿宋"/>
          <w:color w:val="000000"/>
          <w:sz w:val="32"/>
          <w:szCs w:val="32"/>
        </w:rPr>
        <w:t>与预算数持平的主要原因是</w:t>
      </w:r>
      <w:r>
        <w:rPr>
          <w:rFonts w:hint="eastAsia" w:ascii="仿宋" w:hAnsi="仿宋" w:eastAsia="仿宋"/>
          <w:color w:val="000000"/>
          <w:sz w:val="32"/>
          <w:szCs w:val="32"/>
          <w:lang w:val="en-US" w:eastAsia="zh-CN"/>
        </w:rPr>
        <w:t>单位2019年工作任务重，需要到各县开展工作次数多，产生的公务用车费用较多。</w:t>
      </w:r>
    </w:p>
    <w:p>
      <w:pPr>
        <w:spacing w:line="600" w:lineRule="exact"/>
        <w:ind w:firstLine="640"/>
        <w:outlineLvl w:val="2"/>
        <w:rPr>
          <w:rFonts w:hint="eastAsia" w:ascii="楷体_GB2312" w:hAnsi="楷体_GB2312" w:eastAsia="楷体_GB2312" w:cs="楷体_GB2312"/>
          <w:b/>
          <w:color w:val="000000"/>
          <w:sz w:val="32"/>
          <w:szCs w:val="32"/>
        </w:rPr>
      </w:pPr>
      <w:bookmarkStart w:id="58" w:name="_Toc15377217"/>
      <w:r>
        <w:rPr>
          <w:rFonts w:hint="eastAsia" w:ascii="楷体_GB2312" w:hAnsi="楷体_GB2312" w:eastAsia="楷体_GB2312" w:cs="楷体_GB2312"/>
          <w:b/>
          <w:color w:val="000000"/>
          <w:sz w:val="32"/>
          <w:szCs w:val="32"/>
        </w:rPr>
        <w:t>（二）“三公”经费财政拨款支出决算具体情况说明</w:t>
      </w:r>
      <w:bookmarkEnd w:id="58"/>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2019 年“三公”经费财政拨款支出决算中，因公出国（境）费支出决算0.00万元，占 0.00%；公务用车购置及运行维护费支出决算66.05万元，占 </w:t>
      </w:r>
      <w:r>
        <w:rPr>
          <w:rFonts w:hint="eastAsia" w:ascii="仿宋_GB2312" w:hAnsi="仿宋_GB2312" w:eastAsia="仿宋_GB2312" w:cs="仿宋_GB2312"/>
          <w:color w:val="000000"/>
          <w:sz w:val="32"/>
          <w:szCs w:val="32"/>
          <w:lang w:val="en-US" w:eastAsia="zh-CN"/>
        </w:rPr>
        <w:t>99.51</w:t>
      </w:r>
      <w:r>
        <w:rPr>
          <w:rFonts w:hint="eastAsia" w:ascii="仿宋_GB2312" w:hAnsi="仿宋_GB2312" w:eastAsia="仿宋_GB2312" w:cs="仿宋_GB2312"/>
          <w:color w:val="000000"/>
          <w:sz w:val="32"/>
          <w:szCs w:val="32"/>
        </w:rPr>
        <w:t xml:space="preserve">%；公务接待费支出决算0.32万元，占 </w:t>
      </w:r>
      <w:r>
        <w:rPr>
          <w:rFonts w:hint="eastAsia" w:ascii="仿宋_GB2312" w:hAnsi="仿宋_GB2312" w:eastAsia="仿宋_GB2312" w:cs="仿宋_GB2312"/>
          <w:color w:val="000000"/>
          <w:sz w:val="32"/>
          <w:szCs w:val="32"/>
          <w:lang w:val="en-US" w:eastAsia="zh-CN"/>
        </w:rPr>
        <w:t>0.49</w:t>
      </w:r>
      <w:r>
        <w:rPr>
          <w:rFonts w:hint="eastAsia" w:ascii="仿宋_GB2312" w:hAnsi="仿宋_GB2312" w:eastAsia="仿宋_GB2312" w:cs="仿宋_GB2312"/>
          <w:color w:val="000000"/>
          <w:sz w:val="32"/>
          <w:szCs w:val="32"/>
        </w:rPr>
        <w:t>%。具体情况如下：</w:t>
      </w:r>
    </w:p>
    <w:p>
      <w:pPr>
        <w:spacing w:line="600" w:lineRule="exact"/>
        <w:ind w:firstLine="640"/>
        <w:rPr>
          <w:rFonts w:hint="eastAsia" w:ascii="仿宋" w:hAnsi="仿宋" w:eastAsia="仿宋"/>
          <w:color w:val="000000"/>
          <w:sz w:val="32"/>
          <w:szCs w:val="32"/>
        </w:rPr>
      </w:pPr>
      <w:r>
        <w:rPr>
          <w:rFonts w:ascii="仿宋_GB2312" w:eastAsia="仿宋_GB2312"/>
          <w:color w:val="000000"/>
          <w:sz w:val="32"/>
          <w:szCs w:val="32"/>
        </w:rPr>
        <w:drawing>
          <wp:anchor distT="0" distB="0" distL="0" distR="0" simplePos="0" relativeHeight="251688960" behindDoc="0" locked="0" layoutInCell="1" allowOverlap="1">
            <wp:simplePos x="0" y="0"/>
            <wp:positionH relativeFrom="column">
              <wp:posOffset>933450</wp:posOffset>
            </wp:positionH>
            <wp:positionV relativeFrom="paragraph">
              <wp:posOffset>371475</wp:posOffset>
            </wp:positionV>
            <wp:extent cx="2724150" cy="1828800"/>
            <wp:effectExtent l="0" t="0" r="0" b="0"/>
            <wp:wrapSquare wrapText="bothSides"/>
            <wp:docPr id="6" name="对象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hint="eastAsia" w:ascii="仿宋" w:hAnsi="仿宋" w:eastAsia="仿宋"/>
          <w:color w:val="000000"/>
          <w:sz w:val="32"/>
          <w:szCs w:val="32"/>
        </w:rPr>
      </w:pPr>
    </w:p>
    <w:p>
      <w:pPr>
        <w:spacing w:line="600" w:lineRule="exact"/>
        <w:ind w:firstLine="640"/>
        <w:outlineLvl w:val="1"/>
        <w:rPr>
          <w:rFonts w:hint="eastAsia" w:ascii="仿宋_GB2312" w:eastAsia="仿宋_GB2312"/>
          <w:b w:val="0"/>
          <w:bCs/>
          <w:color w:val="000000"/>
          <w:sz w:val="32"/>
          <w:szCs w:val="32"/>
        </w:rPr>
      </w:pPr>
      <w:bookmarkStart w:id="59" w:name="_Toc24277"/>
      <w:bookmarkStart w:id="60" w:name="_Toc15396610"/>
      <w:bookmarkStart w:id="61" w:name="_Toc15377218"/>
      <w:r>
        <w:rPr>
          <w:rFonts w:hint="eastAsia" w:ascii="仿宋_GB2312" w:eastAsia="仿宋_GB2312"/>
          <w:b w:val="0"/>
          <w:bCs/>
          <w:color w:val="000000"/>
          <w:sz w:val="32"/>
          <w:szCs w:val="32"/>
        </w:rPr>
        <w:t>1.因公出国（境）经费支出0.00万元，完成预算</w:t>
      </w:r>
      <w:r>
        <w:rPr>
          <w:rFonts w:hint="eastAsia" w:ascii="仿宋_GB2312" w:eastAsia="仿宋_GB2312"/>
          <w:b w:val="0"/>
          <w:bCs/>
          <w:color w:val="000000"/>
          <w:sz w:val="32"/>
          <w:szCs w:val="32"/>
          <w:lang w:val="en-US" w:eastAsia="zh-CN"/>
        </w:rPr>
        <w:t>0</w:t>
      </w:r>
      <w:r>
        <w:rPr>
          <w:rFonts w:hint="eastAsia" w:ascii="仿宋_GB2312" w:eastAsia="仿宋_GB2312"/>
          <w:b w:val="0"/>
          <w:bCs/>
          <w:color w:val="000000"/>
          <w:sz w:val="32"/>
          <w:szCs w:val="32"/>
        </w:rPr>
        <w:t>%。</w:t>
      </w:r>
      <w:bookmarkEnd w:id="59"/>
    </w:p>
    <w:p>
      <w:pPr>
        <w:spacing w:line="600" w:lineRule="exact"/>
        <w:ind w:firstLine="640" w:firstLineChars="200"/>
        <w:rPr>
          <w:rFonts w:hint="eastAsia" w:ascii="仿宋_GB2312" w:eastAsia="仿宋_GB2312"/>
          <w:b w:val="0"/>
          <w:bCs/>
          <w:color w:val="000000"/>
          <w:sz w:val="32"/>
          <w:szCs w:val="32"/>
        </w:rPr>
      </w:pPr>
      <w:r>
        <w:rPr>
          <w:rFonts w:hint="eastAsia" w:ascii="仿宋_GB2312" w:eastAsia="仿宋_GB2312"/>
          <w:b w:val="0"/>
          <w:bCs/>
          <w:color w:val="000000"/>
          <w:sz w:val="32"/>
          <w:szCs w:val="32"/>
        </w:rPr>
        <w:t>2.公务用车购置及运行维护费支出66.05万元,完成预算</w:t>
      </w:r>
      <w:r>
        <w:rPr>
          <w:rFonts w:hint="eastAsia" w:ascii="仿宋_GB2312" w:eastAsia="仿宋_GB2312"/>
          <w:b w:val="0"/>
          <w:bCs/>
          <w:color w:val="000000"/>
          <w:sz w:val="32"/>
          <w:szCs w:val="32"/>
          <w:lang w:val="en-US" w:eastAsia="zh-CN"/>
        </w:rPr>
        <w:t>100</w:t>
      </w:r>
      <w:r>
        <w:rPr>
          <w:rFonts w:hint="eastAsia" w:ascii="仿宋_GB2312" w:eastAsia="仿宋_GB2312"/>
          <w:b w:val="0"/>
          <w:bCs/>
          <w:color w:val="000000"/>
          <w:sz w:val="32"/>
          <w:szCs w:val="32"/>
        </w:rPr>
        <w:t>%。公务用车购置及运行维护费支出决算比2018年增加19.62万元，增长42.26%。主要原因是</w:t>
      </w:r>
      <w:r>
        <w:rPr>
          <w:rFonts w:hint="eastAsia" w:ascii="仿宋" w:hAnsi="仿宋" w:eastAsia="仿宋"/>
          <w:color w:val="000000"/>
          <w:sz w:val="32"/>
          <w:szCs w:val="32"/>
          <w:lang w:val="en-US" w:eastAsia="zh-CN"/>
        </w:rPr>
        <w:t>单位2019年工作任务重，需要到各县开展工作次数多，产生的公务用车费用较多。</w:t>
      </w:r>
      <w:r>
        <w:rPr>
          <w:rFonts w:hint="eastAsia" w:ascii="仿宋_GB2312" w:eastAsia="仿宋_GB2312"/>
          <w:b w:val="0"/>
          <w:bCs/>
          <w:color w:val="000000"/>
          <w:sz w:val="32"/>
          <w:szCs w:val="32"/>
        </w:rPr>
        <w:t xml:space="preserve">其中：公务用车购置支出0.00万元。全年按规定更新购置公务用车0辆，金额0.00万元。截至2019年12月底，单位共有公务用车 </w:t>
      </w:r>
      <w:r>
        <w:rPr>
          <w:rFonts w:hint="eastAsia" w:ascii="仿宋_GB2312" w:eastAsia="仿宋_GB2312"/>
          <w:b w:val="0"/>
          <w:bCs/>
          <w:color w:val="000000"/>
          <w:sz w:val="32"/>
          <w:szCs w:val="32"/>
          <w:lang w:val="en-US" w:eastAsia="zh-CN"/>
        </w:rPr>
        <w:t>7</w:t>
      </w:r>
      <w:r>
        <w:rPr>
          <w:rFonts w:hint="eastAsia" w:ascii="仿宋_GB2312" w:eastAsia="仿宋_GB2312"/>
          <w:b w:val="0"/>
          <w:bCs/>
          <w:color w:val="000000"/>
          <w:sz w:val="32"/>
          <w:szCs w:val="32"/>
        </w:rPr>
        <w:t>辆，其中：主要领导干部用车0辆、机要通信用车0辆、应急保障用车0辆、执法执勤用车0辆、特种专业技术用车0 辆、离退休干部用车0辆、其他用车7辆。</w:t>
      </w:r>
    </w:p>
    <w:p>
      <w:pPr>
        <w:spacing w:line="600" w:lineRule="exact"/>
        <w:ind w:firstLine="640"/>
        <w:outlineLvl w:val="1"/>
        <w:rPr>
          <w:rFonts w:hint="eastAsia" w:ascii="仿宋_GB2312" w:eastAsia="仿宋_GB2312"/>
          <w:b w:val="0"/>
          <w:bCs/>
          <w:color w:val="000000"/>
          <w:sz w:val="32"/>
          <w:szCs w:val="32"/>
        </w:rPr>
      </w:pPr>
      <w:bookmarkStart w:id="62" w:name="_Toc16464"/>
      <w:r>
        <w:rPr>
          <w:rFonts w:hint="eastAsia" w:ascii="仿宋_GB2312" w:eastAsia="仿宋_GB2312"/>
          <w:b w:val="0"/>
          <w:bCs/>
          <w:color w:val="000000"/>
          <w:sz w:val="32"/>
          <w:szCs w:val="32"/>
        </w:rPr>
        <w:t>公务用车运行维护费支出66.05万元。主要用于</w:t>
      </w:r>
      <w:r>
        <w:rPr>
          <w:rFonts w:hint="eastAsia" w:ascii="仿宋_GB2312" w:eastAsia="仿宋_GB2312"/>
          <w:b w:val="0"/>
          <w:bCs/>
          <w:color w:val="000000"/>
          <w:sz w:val="32"/>
          <w:szCs w:val="32"/>
          <w:lang w:val="en-US" w:eastAsia="zh-CN"/>
        </w:rPr>
        <w:t>开展全州住房和城乡建设工作</w:t>
      </w:r>
      <w:r>
        <w:rPr>
          <w:rFonts w:hint="eastAsia" w:ascii="仿宋_GB2312" w:eastAsia="仿宋_GB2312"/>
          <w:b w:val="0"/>
          <w:bCs/>
          <w:color w:val="000000"/>
          <w:sz w:val="32"/>
          <w:szCs w:val="32"/>
        </w:rPr>
        <w:t>所需的公务用车燃料费、维修费、过路过桥费、保险费等支出。</w:t>
      </w:r>
      <w:bookmarkEnd w:id="62"/>
    </w:p>
    <w:p>
      <w:pPr>
        <w:spacing w:line="600" w:lineRule="exact"/>
        <w:ind w:firstLine="640"/>
        <w:outlineLvl w:val="1"/>
        <w:rPr>
          <w:rFonts w:hint="eastAsia" w:ascii="仿宋_GB2312" w:eastAsia="仿宋_GB2312"/>
          <w:b w:val="0"/>
          <w:bCs/>
          <w:color w:val="000000"/>
          <w:sz w:val="32"/>
          <w:szCs w:val="32"/>
        </w:rPr>
      </w:pPr>
      <w:bookmarkStart w:id="63" w:name="_Toc19228"/>
      <w:r>
        <w:rPr>
          <w:rFonts w:hint="eastAsia" w:ascii="仿宋_GB2312" w:eastAsia="仿宋_GB2312"/>
          <w:b w:val="0"/>
          <w:bCs/>
          <w:color w:val="000000"/>
          <w:sz w:val="32"/>
          <w:szCs w:val="32"/>
        </w:rPr>
        <w:t>3.公务接待费支出</w:t>
      </w:r>
      <w:r>
        <w:rPr>
          <w:rFonts w:hint="eastAsia" w:ascii="仿宋_GB2312" w:eastAsia="仿宋_GB2312"/>
          <w:b w:val="0"/>
          <w:bCs/>
          <w:color w:val="000000"/>
          <w:sz w:val="32"/>
          <w:szCs w:val="32"/>
          <w:lang w:val="en-US" w:eastAsia="zh-CN"/>
        </w:rPr>
        <w:t>0.32</w:t>
      </w:r>
      <w:r>
        <w:rPr>
          <w:rFonts w:hint="eastAsia" w:ascii="仿宋_GB2312" w:eastAsia="仿宋_GB2312"/>
          <w:b w:val="0"/>
          <w:bCs/>
          <w:color w:val="000000"/>
          <w:sz w:val="32"/>
          <w:szCs w:val="32"/>
        </w:rPr>
        <w:t>万元，完成预算0.01%。公务接待费支出决算比2018年增加0.01万元，增长3.43%。主要原因是</w:t>
      </w:r>
      <w:r>
        <w:rPr>
          <w:rFonts w:hint="eastAsia" w:ascii="仿宋_GB2312" w:eastAsia="仿宋_GB2312"/>
          <w:b w:val="0"/>
          <w:bCs/>
          <w:color w:val="000000"/>
          <w:sz w:val="32"/>
          <w:szCs w:val="32"/>
          <w:lang w:val="en-US" w:eastAsia="zh-CN"/>
        </w:rPr>
        <w:t>2019年接受省厅检查人次增加。</w:t>
      </w:r>
      <w:r>
        <w:rPr>
          <w:rFonts w:hint="eastAsia" w:ascii="仿宋_GB2312" w:eastAsia="仿宋_GB2312"/>
          <w:b w:val="0"/>
          <w:bCs/>
          <w:color w:val="000000"/>
          <w:sz w:val="32"/>
          <w:szCs w:val="32"/>
        </w:rPr>
        <w:t>其中：</w:t>
      </w:r>
      <w:bookmarkEnd w:id="63"/>
    </w:p>
    <w:p>
      <w:pPr>
        <w:spacing w:line="600" w:lineRule="exact"/>
        <w:ind w:firstLine="640"/>
        <w:outlineLvl w:val="1"/>
        <w:rPr>
          <w:rFonts w:hint="eastAsia" w:ascii="仿宋_GB2312" w:eastAsia="仿宋_GB2312"/>
          <w:b w:val="0"/>
          <w:bCs/>
          <w:color w:val="000000"/>
          <w:sz w:val="32"/>
          <w:szCs w:val="32"/>
          <w:lang w:eastAsia="zh-CN"/>
        </w:rPr>
      </w:pPr>
      <w:bookmarkStart w:id="64" w:name="_Toc14705"/>
      <w:r>
        <w:rPr>
          <w:rFonts w:hint="eastAsia" w:ascii="仿宋_GB2312" w:eastAsia="仿宋_GB2312"/>
          <w:b w:val="0"/>
          <w:bCs/>
          <w:color w:val="000000"/>
          <w:sz w:val="32"/>
          <w:szCs w:val="32"/>
        </w:rPr>
        <w:t>国内公务接待支出</w:t>
      </w:r>
      <w:r>
        <w:rPr>
          <w:rFonts w:hint="eastAsia" w:ascii="仿宋_GB2312" w:eastAsia="仿宋_GB2312"/>
          <w:b w:val="0"/>
          <w:bCs/>
          <w:color w:val="000000"/>
          <w:sz w:val="32"/>
          <w:szCs w:val="32"/>
          <w:lang w:val="en-US" w:eastAsia="zh-CN"/>
        </w:rPr>
        <w:t>0.32</w:t>
      </w:r>
      <w:r>
        <w:rPr>
          <w:rFonts w:hint="eastAsia" w:ascii="仿宋_GB2312" w:eastAsia="仿宋_GB2312"/>
          <w:b w:val="0"/>
          <w:bCs/>
          <w:color w:val="000000"/>
          <w:sz w:val="32"/>
          <w:szCs w:val="32"/>
        </w:rPr>
        <w:t>万元，主要用</w:t>
      </w:r>
      <w:r>
        <w:rPr>
          <w:rFonts w:hint="eastAsia" w:ascii="仿宋_GB2312" w:eastAsia="仿宋_GB2312"/>
          <w:b w:val="0"/>
          <w:bCs/>
          <w:color w:val="000000"/>
          <w:sz w:val="32"/>
          <w:szCs w:val="32"/>
          <w:lang w:val="en-US" w:eastAsia="zh-CN"/>
        </w:rPr>
        <w:t>于接待省厅工作组到我局指导检查工作</w:t>
      </w:r>
      <w:r>
        <w:rPr>
          <w:rFonts w:hint="eastAsia" w:ascii="仿宋_GB2312" w:eastAsia="仿宋_GB2312"/>
          <w:b w:val="0"/>
          <w:bCs/>
          <w:color w:val="000000"/>
          <w:sz w:val="32"/>
          <w:szCs w:val="32"/>
        </w:rPr>
        <w:t>。国内公务接待2批 次，10人次（不包括陪同人员），共计支出</w:t>
      </w:r>
      <w:r>
        <w:rPr>
          <w:rFonts w:hint="eastAsia" w:ascii="仿宋_GB2312" w:eastAsia="仿宋_GB2312"/>
          <w:b w:val="0"/>
          <w:bCs/>
          <w:color w:val="000000"/>
          <w:sz w:val="32"/>
          <w:szCs w:val="32"/>
          <w:lang w:val="en-US" w:eastAsia="zh-CN"/>
        </w:rPr>
        <w:t>0.32</w:t>
      </w:r>
      <w:r>
        <w:rPr>
          <w:rFonts w:hint="eastAsia" w:ascii="仿宋_GB2312" w:eastAsia="仿宋_GB2312"/>
          <w:b w:val="0"/>
          <w:bCs/>
          <w:color w:val="000000"/>
          <w:sz w:val="32"/>
          <w:szCs w:val="32"/>
        </w:rPr>
        <w:t>万元</w:t>
      </w:r>
      <w:r>
        <w:rPr>
          <w:rFonts w:hint="eastAsia" w:ascii="仿宋_GB2312" w:eastAsia="仿宋_GB2312"/>
          <w:b w:val="0"/>
          <w:bCs/>
          <w:color w:val="000000"/>
          <w:sz w:val="32"/>
          <w:szCs w:val="32"/>
          <w:lang w:eastAsia="zh-CN"/>
        </w:rPr>
        <w:t>。</w:t>
      </w:r>
      <w:bookmarkEnd w:id="64"/>
    </w:p>
    <w:p>
      <w:pPr>
        <w:spacing w:line="600" w:lineRule="exact"/>
        <w:ind w:firstLine="640"/>
        <w:outlineLvl w:val="1"/>
        <w:rPr>
          <w:rStyle w:val="25"/>
          <w:rFonts w:ascii="黑体" w:hAnsi="黑体" w:eastAsia="黑体"/>
        </w:rPr>
      </w:pPr>
      <w:bookmarkStart w:id="65" w:name="_Toc11506"/>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60"/>
      <w:bookmarkEnd w:id="61"/>
      <w:bookmarkEnd w:id="6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5"/>
          <w:rFonts w:ascii="黑体" w:hAnsi="黑体" w:eastAsia="黑体"/>
          <w:b w:val="0"/>
        </w:rPr>
      </w:pPr>
      <w:bookmarkStart w:id="66" w:name="_Toc15396611"/>
      <w:bookmarkStart w:id="67" w:name="_Toc15377219"/>
      <w:bookmarkStart w:id="68" w:name="_Toc5857"/>
      <w:r>
        <w:rPr>
          <w:rStyle w:val="25"/>
          <w:rFonts w:hint="eastAsia" w:ascii="黑体" w:hAnsi="黑体" w:eastAsia="黑体"/>
          <w:b w:val="0"/>
        </w:rPr>
        <w:t>国有资本经营预算支出决算情况说明</w:t>
      </w:r>
      <w:bookmarkEnd w:id="66"/>
      <w:bookmarkEnd w:id="67"/>
      <w:bookmarkEnd w:id="68"/>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69" w:name="_Toc15396612"/>
      <w:bookmarkStart w:id="70" w:name="_Toc15377221"/>
      <w:bookmarkStart w:id="71" w:name="_Toc19437"/>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69"/>
      <w:bookmarkEnd w:id="70"/>
      <w:bookmarkEnd w:id="71"/>
    </w:p>
    <w:p>
      <w:pPr>
        <w:spacing w:line="600" w:lineRule="exact"/>
        <w:ind w:firstLine="643" w:firstLineChars="200"/>
        <w:outlineLvl w:val="2"/>
        <w:rPr>
          <w:rFonts w:hint="eastAsia" w:ascii="楷体_GB2312" w:hAnsi="楷体_GB2312" w:eastAsia="楷体_GB2312" w:cs="楷体_GB2312"/>
          <w:color w:val="000000"/>
          <w:sz w:val="32"/>
          <w:szCs w:val="32"/>
        </w:rPr>
      </w:pPr>
      <w:bookmarkStart w:id="72" w:name="_Toc15377222"/>
      <w:r>
        <w:rPr>
          <w:rFonts w:hint="eastAsia" w:ascii="楷体_GB2312" w:hAnsi="楷体_GB2312" w:eastAsia="楷体_GB2312" w:cs="楷体_GB2312"/>
          <w:b/>
          <w:color w:val="000000"/>
          <w:sz w:val="32"/>
          <w:szCs w:val="32"/>
        </w:rPr>
        <w:t>（一）机关运行经费支出情况</w:t>
      </w:r>
      <w:bookmarkEnd w:id="72"/>
    </w:p>
    <w:p>
      <w:pPr>
        <w:spacing w:line="600" w:lineRule="exact"/>
        <w:ind w:firstLine="640" w:firstLineChars="200"/>
        <w:rPr>
          <w:rFonts w:hint="default" w:ascii="仿宋" w:hAnsi="仿宋" w:eastAsia="仿宋_GB2312"/>
          <w:b/>
          <w:color w:val="FF0000"/>
          <w:sz w:val="32"/>
          <w:szCs w:val="32"/>
          <w:lang w:val="en-US" w:eastAsia="zh-CN"/>
        </w:rPr>
      </w:pPr>
      <w:r>
        <w:rPr>
          <w:rFonts w:hint="eastAsia" w:ascii="仿宋_GB2312" w:eastAsia="仿宋_GB2312"/>
          <w:color w:val="000000"/>
          <w:sz w:val="32"/>
          <w:szCs w:val="32"/>
        </w:rPr>
        <w:t>2019 年，四川省阿坝州住房和城乡建设局（本级）机关运行经费支出130.16万元，比2018年</w:t>
      </w:r>
      <w:r>
        <w:rPr>
          <w:rFonts w:hint="eastAsia" w:ascii="仿宋_GB2312" w:eastAsia="仿宋_GB2312"/>
          <w:color w:val="000000"/>
          <w:sz w:val="32"/>
          <w:szCs w:val="32"/>
          <w:lang w:val="en-US" w:eastAsia="zh-CN"/>
        </w:rPr>
        <w:t>减少</w:t>
      </w:r>
      <w:r>
        <w:rPr>
          <w:rFonts w:hint="eastAsia" w:ascii="仿宋_GB2312" w:eastAsia="仿宋_GB2312"/>
          <w:color w:val="000000"/>
          <w:sz w:val="32"/>
          <w:szCs w:val="32"/>
        </w:rPr>
        <w:t>28.46万元，</w:t>
      </w:r>
      <w:r>
        <w:rPr>
          <w:rFonts w:hint="eastAsia" w:ascii="仿宋_GB2312" w:eastAsia="仿宋_GB2312"/>
          <w:color w:val="000000"/>
          <w:sz w:val="32"/>
          <w:szCs w:val="32"/>
          <w:lang w:val="en-US" w:eastAsia="zh-CN"/>
        </w:rPr>
        <w:t>降低</w:t>
      </w:r>
      <w:r>
        <w:rPr>
          <w:rFonts w:hint="eastAsia" w:ascii="仿宋_GB2312" w:eastAsia="仿宋_GB2312"/>
          <w:color w:val="000000"/>
          <w:sz w:val="32"/>
          <w:szCs w:val="32"/>
        </w:rPr>
        <w:t>17.94%。主要原因是</w:t>
      </w:r>
      <w:r>
        <w:rPr>
          <w:rFonts w:hint="eastAsia" w:ascii="仿宋_GB2312" w:eastAsia="仿宋_GB2312"/>
          <w:color w:val="000000"/>
          <w:sz w:val="32"/>
          <w:szCs w:val="32"/>
          <w:lang w:val="en-US" w:eastAsia="zh-CN"/>
        </w:rPr>
        <w:t>厉行节约原则，严格控制机关运行经费开支。</w:t>
      </w:r>
    </w:p>
    <w:p>
      <w:pPr>
        <w:autoSpaceDE w:val="0"/>
        <w:autoSpaceDN w:val="0"/>
        <w:adjustRightInd w:val="0"/>
        <w:spacing w:line="600" w:lineRule="exact"/>
        <w:ind w:firstLine="643" w:firstLineChars="200"/>
        <w:jc w:val="left"/>
        <w:outlineLvl w:val="2"/>
        <w:rPr>
          <w:rFonts w:hint="eastAsia" w:ascii="楷体_GB2312" w:hAnsi="楷体_GB2312" w:eastAsia="楷体_GB2312" w:cs="楷体_GB2312"/>
          <w:b/>
          <w:color w:val="000000"/>
          <w:sz w:val="32"/>
          <w:szCs w:val="32"/>
        </w:rPr>
      </w:pPr>
      <w:bookmarkStart w:id="73" w:name="_Toc15377223"/>
      <w:r>
        <w:rPr>
          <w:rFonts w:hint="eastAsia" w:ascii="楷体_GB2312" w:hAnsi="楷体_GB2312" w:eastAsia="楷体_GB2312" w:cs="楷体_GB2312"/>
          <w:b/>
          <w:color w:val="000000"/>
          <w:sz w:val="32"/>
          <w:szCs w:val="32"/>
        </w:rPr>
        <w:t>（二）政府采购支出情况</w:t>
      </w:r>
      <w:bookmarkEnd w:id="7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2019 年，四川省阿坝州住房和城乡建设局（本级）政府采购支出总额345.66万元，其中：政府采购货物支出 14.40万元、政府采购工程支出0.00万元、政府采购服务支出331.26万元。授予中小企 业合同金额345.66万元，占政府采购支出总额的100.00%，其中：授予小微企业合同金额14.40万元，占政府采购支出总额的4.17%。</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4" w:name="_Toc15377224"/>
      <w:r>
        <w:rPr>
          <w:rFonts w:hint="eastAsia" w:ascii="仿宋" w:hAnsi="仿宋" w:eastAsia="仿宋"/>
          <w:b/>
          <w:color w:val="000000"/>
          <w:sz w:val="32"/>
          <w:szCs w:val="32"/>
        </w:rPr>
        <w:t>（</w:t>
      </w:r>
      <w:r>
        <w:rPr>
          <w:rFonts w:hint="eastAsia" w:ascii="楷体_GB2312" w:hAnsi="楷体_GB2312" w:eastAsia="楷体_GB2312" w:cs="楷体_GB2312"/>
          <w:b/>
          <w:color w:val="000000"/>
          <w:sz w:val="32"/>
          <w:szCs w:val="32"/>
        </w:rPr>
        <w:t>三）国有资产占有使用情况</w:t>
      </w:r>
      <w:bookmarkEnd w:id="74"/>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截</w:t>
      </w:r>
      <w:r>
        <w:rPr>
          <w:rFonts w:hint="eastAsia" w:ascii="仿宋_GB2312" w:eastAsia="仿宋_GB2312"/>
          <w:color w:val="000000"/>
          <w:sz w:val="32"/>
          <w:szCs w:val="32"/>
          <w:lang w:val="en-US" w:eastAsia="zh-CN"/>
        </w:rPr>
        <w:t>止</w:t>
      </w:r>
      <w:r>
        <w:rPr>
          <w:rFonts w:hint="eastAsia" w:ascii="仿宋_GB2312" w:eastAsia="仿宋_GB2312"/>
          <w:color w:val="000000"/>
          <w:sz w:val="32"/>
          <w:szCs w:val="32"/>
        </w:rPr>
        <w:t>2019年12月31日，四川省阿坝州住房和城乡建设局（本级）共有车辆7辆，其中：主要领导干部用车0 辆、机要通信用车0辆、应急保障用车0辆、执法执勤用车0 辆、特种专业技术用车0辆、离退休干部用车0辆、其他用车 7辆。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 w:hAnsi="仿宋" w:eastAsia="仿宋"/>
          <w:b/>
          <w:color w:val="FF0000"/>
          <w:sz w:val="32"/>
          <w:szCs w:val="32"/>
        </w:rPr>
      </w:pPr>
      <w:r>
        <w:rPr>
          <w:rFonts w:hint="eastAsia" w:ascii="仿宋_GB2312" w:eastAsia="仿宋_GB2312"/>
          <w:color w:val="000000"/>
          <w:sz w:val="32"/>
          <w:szCs w:val="32"/>
        </w:rPr>
        <w:t>单价50万元以上通用设备2台（套），单价100万元以上专用设备0台（套）。</w:t>
      </w:r>
    </w:p>
    <w:p>
      <w:pPr>
        <w:autoSpaceDE w:val="0"/>
        <w:autoSpaceDN w:val="0"/>
        <w:adjustRightInd w:val="0"/>
        <w:spacing w:line="600" w:lineRule="exact"/>
        <w:ind w:firstLine="643" w:firstLineChars="200"/>
        <w:jc w:val="left"/>
        <w:outlineLvl w:val="2"/>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根据预算绩效管理要求，本部门在年初预算编制阶段，组织对</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个项目开展了绩效目标完成情况自评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公开5个项目自评报告，见附件2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w:t>
      </w:r>
      <w:r>
        <w:rPr>
          <w:rFonts w:hint="eastAsia" w:ascii="仿宋_GB2312" w:hAnsi="仿宋_GB2312" w:eastAsia="仿宋_GB2312" w:cs="仿宋_GB2312"/>
          <w:sz w:val="32"/>
          <w:szCs w:val="32"/>
          <w:lang w:val="en-US" w:eastAsia="zh-CN"/>
        </w:rPr>
        <w:t>本部门按照年初预算绩效目标较好的完成了项目目标任务。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val="en-US" w:eastAsia="zh-CN"/>
        </w:rPr>
        <w:t>阿坝州住房和城乡建设局</w:t>
      </w:r>
      <w:r>
        <w:rPr>
          <w:rFonts w:hint="eastAsia" w:ascii="仿宋_GB2312" w:hAnsi="仿宋_GB2312" w:eastAsia="仿宋_GB2312" w:cs="仿宋_GB2312"/>
          <w:sz w:val="32"/>
          <w:szCs w:val="32"/>
        </w:rPr>
        <w:t>2019年部门整体支出绩效评价报告》见附件（附件1）。</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4"/>
          <w:rFonts w:ascii="黑体" w:hAnsi="黑体" w:eastAsia="黑体"/>
          <w:b w:val="0"/>
        </w:rPr>
      </w:pPr>
      <w:bookmarkStart w:id="75" w:name="_Toc21424"/>
      <w:bookmarkStart w:id="76" w:name="_Toc15396613"/>
      <w:bookmarkStart w:id="77" w:name="_Toc15377225"/>
      <w:r>
        <w:rPr>
          <w:rFonts w:hint="eastAsia" w:ascii="黑体" w:hAnsi="黑体" w:eastAsia="黑体"/>
          <w:color w:val="000000"/>
          <w:sz w:val="44"/>
          <w:szCs w:val="44"/>
        </w:rPr>
        <w:t>名</w:t>
      </w:r>
      <w:r>
        <w:rPr>
          <w:rStyle w:val="24"/>
          <w:rFonts w:hint="eastAsia" w:ascii="黑体" w:hAnsi="黑体" w:eastAsia="黑体"/>
          <w:b w:val="0"/>
        </w:rPr>
        <w:t>词解释</w:t>
      </w:r>
      <w:bookmarkEnd w:id="75"/>
      <w:bookmarkEnd w:id="76"/>
      <w:bookmarkEnd w:id="77"/>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9.城乡社区支出（类）</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城乡社区管理事务（款）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行政运行（项）: 反映行政单位的基本支出。</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一般行政管理事务</w:t>
      </w:r>
      <w:r>
        <w:rPr>
          <w:rFonts w:hint="eastAsia" w:ascii="仿宋_GB2312" w:eastAsia="仿宋_GB2312"/>
          <w:color w:val="000000"/>
          <w:sz w:val="32"/>
          <w:szCs w:val="32"/>
        </w:rPr>
        <w:t>（项）: 反映行政单位的</w:t>
      </w:r>
      <w:r>
        <w:rPr>
          <w:rFonts w:hint="eastAsia" w:ascii="仿宋_GB2312" w:eastAsia="仿宋_GB2312"/>
          <w:color w:val="000000"/>
          <w:sz w:val="32"/>
          <w:szCs w:val="32"/>
          <w:lang w:val="en-US" w:eastAsia="zh-CN"/>
        </w:rPr>
        <w:t>项目</w:t>
      </w:r>
      <w:r>
        <w:rPr>
          <w:rFonts w:hint="eastAsia" w:ascii="仿宋_GB2312" w:eastAsia="仿宋_GB2312"/>
          <w:color w:val="000000"/>
          <w:sz w:val="32"/>
          <w:szCs w:val="32"/>
        </w:rPr>
        <w:t>支出</w:t>
      </w:r>
      <w:r>
        <w:rPr>
          <w:rFonts w:hint="eastAsia" w:ascii="仿宋_GB2312" w:eastAsia="仿宋_GB2312"/>
          <w:color w:val="000000"/>
          <w:sz w:val="32"/>
          <w:szCs w:val="32"/>
          <w:lang w:eastAsia="zh-CN"/>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.住房保障</w:t>
      </w:r>
      <w:r>
        <w:rPr>
          <w:rFonts w:hint="eastAsia" w:ascii="仿宋_GB2312" w:eastAsia="仿宋_GB2312"/>
          <w:color w:val="000000"/>
          <w:sz w:val="32"/>
          <w:szCs w:val="32"/>
          <w:lang w:val="en-US" w:eastAsia="zh-CN"/>
        </w:rPr>
        <w:t>和就业</w:t>
      </w:r>
      <w:r>
        <w:rPr>
          <w:rFonts w:hint="eastAsia" w:ascii="仿宋_GB2312" w:eastAsia="仿宋_GB2312"/>
          <w:color w:val="000000"/>
          <w:sz w:val="32"/>
          <w:szCs w:val="32"/>
        </w:rPr>
        <w:t>支出（类）</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住房改革支出（款）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住房公积金（项）:反映行政事业单位按人力资源和社会保障部、财政部规定的基本工资和津贴补贴以及规定比例为职工缴纳的的住房公积金。　　</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.社会保障和就业（类）</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行政事业单位离退休（款）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机关事业单位基本养老保险缴费（项）:反映各级财政部门对机关事业单位基本养老保险基金收支缺口的补助。</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机关事业单位职业年金缴费支出（项）: 反映机关事业单位实施养老保险制度由单位实际缴纳的职业年金支出。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.卫生健康支出（类）</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行政事业单位医疗</w:t>
      </w:r>
      <w:r>
        <w:rPr>
          <w:rFonts w:hint="eastAsia" w:ascii="仿宋_GB2312" w:eastAsia="仿宋_GB2312"/>
          <w:color w:val="000000"/>
          <w:sz w:val="32"/>
          <w:szCs w:val="32"/>
        </w:rPr>
        <w:t>（款）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行政单位医疗（项）:反映财政对基本医疗保险基金的补助。</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公务员医疗补助（项）：反应</w:t>
      </w:r>
      <w:r>
        <w:rPr>
          <w:rFonts w:hint="eastAsia" w:ascii="仿宋_GB2312" w:eastAsia="仿宋_GB2312"/>
          <w:color w:val="000000"/>
          <w:sz w:val="32"/>
          <w:szCs w:val="32"/>
        </w:rPr>
        <w:t>反映财政对</w:t>
      </w:r>
      <w:r>
        <w:rPr>
          <w:rFonts w:hint="eastAsia" w:ascii="仿宋_GB2312" w:eastAsia="仿宋_GB2312"/>
          <w:color w:val="000000"/>
          <w:sz w:val="32"/>
          <w:szCs w:val="32"/>
          <w:lang w:val="en-US" w:eastAsia="zh-CN"/>
        </w:rPr>
        <w:t>公务员补充医</w:t>
      </w:r>
      <w:r>
        <w:rPr>
          <w:rFonts w:hint="eastAsia" w:ascii="仿宋_GB2312" w:eastAsia="仿宋_GB2312"/>
          <w:color w:val="000000"/>
          <w:sz w:val="32"/>
          <w:szCs w:val="32"/>
        </w:rPr>
        <w:t>疗保险的补助</w:t>
      </w:r>
      <w:r>
        <w:rPr>
          <w:rFonts w:hint="eastAsia" w:ascii="仿宋_GB2312" w:eastAsia="仿宋_GB2312"/>
          <w:color w:val="000000"/>
          <w:sz w:val="32"/>
          <w:szCs w:val="32"/>
          <w:lang w:eastAsia="zh-CN"/>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13</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14</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15</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16</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rPr>
      </w:pPr>
      <w:bookmarkStart w:id="78" w:name="_Toc15377226"/>
      <w:r>
        <w:rPr>
          <w:rFonts w:ascii="宋体"/>
          <w:b/>
          <w:color w:val="000000"/>
          <w:sz w:val="44"/>
          <w:szCs w:val="44"/>
        </w:rPr>
        <w:br w:type="page"/>
      </w:r>
      <w:bookmarkStart w:id="79" w:name="_Toc15396614"/>
      <w:bookmarkStart w:id="80" w:name="_Toc2409"/>
      <w:r>
        <w:rPr>
          <w:rFonts w:hint="eastAsia" w:ascii="黑体" w:hAnsi="黑体" w:eastAsia="黑体"/>
          <w:color w:val="000000"/>
          <w:sz w:val="44"/>
          <w:szCs w:val="44"/>
        </w:rPr>
        <w:t>第</w:t>
      </w:r>
      <w:r>
        <w:rPr>
          <w:rStyle w:val="24"/>
          <w:rFonts w:hint="eastAsia" w:ascii="黑体" w:hAnsi="黑体" w:eastAsia="黑体"/>
          <w:b w:val="0"/>
        </w:rPr>
        <w:t>四部分 附件</w:t>
      </w:r>
      <w:bookmarkEnd w:id="79"/>
      <w:bookmarkEnd w:id="80"/>
    </w:p>
    <w:p>
      <w:pPr>
        <w:spacing w:line="600" w:lineRule="exact"/>
        <w:jc w:val="left"/>
        <w:outlineLvl w:val="0"/>
        <w:rPr>
          <w:rFonts w:ascii="方正小标宋简体" w:hAnsi="方正小标宋简体" w:eastAsia="方正小标宋简体" w:cs="方正小标宋简体"/>
          <w:sz w:val="32"/>
          <w:szCs w:val="32"/>
        </w:rPr>
      </w:pPr>
      <w:bookmarkStart w:id="81" w:name="_Toc31784"/>
      <w:r>
        <w:rPr>
          <w:rFonts w:hint="eastAsia" w:ascii="黑体" w:hAnsi="黑体" w:eastAsia="黑体" w:cs="黑体"/>
          <w:sz w:val="32"/>
          <w:szCs w:val="32"/>
        </w:rPr>
        <w:t>附件1</w:t>
      </w:r>
      <w:bookmarkEnd w:id="81"/>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lang w:val="en-US" w:eastAsia="zh-CN"/>
        </w:rPr>
      </w:pPr>
      <w:r>
        <w:rPr>
          <w:rFonts w:hint="eastAsia" w:ascii="方正小标宋简体" w:hAnsi="宋体" w:eastAsia="方正小标宋简体"/>
          <w:color w:val="000000"/>
          <w:kern w:val="0"/>
          <w:sz w:val="40"/>
          <w:szCs w:val="44"/>
          <w:lang w:val="en-US" w:eastAsia="zh-CN"/>
        </w:rPr>
        <w:t>阿坝州住房和城乡建设局</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spacing w:line="580" w:lineRule="exact"/>
        <w:ind w:firstLine="640" w:firstLineChars="200"/>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一、部门（单位）概况</w:t>
      </w:r>
    </w:p>
    <w:p>
      <w:pPr>
        <w:spacing w:line="580" w:lineRule="exact"/>
        <w:ind w:firstLine="643" w:firstLineChars="200"/>
        <w:rPr>
          <w:rFonts w:hint="eastAsia" w:ascii="仿宋_GB2312" w:hAnsi="仿宋_GB2312" w:eastAsia="仿宋_GB2312" w:cs="仿宋_GB2312"/>
          <w:color w:val="000000"/>
          <w:kern w:val="0"/>
          <w:sz w:val="32"/>
          <w:szCs w:val="32"/>
          <w:shd w:val="clear" w:color="auto" w:fill="FFFFFF"/>
        </w:rPr>
      </w:pPr>
      <w:r>
        <w:rPr>
          <w:rFonts w:hint="eastAsia" w:ascii="楷体_GB2312" w:hAnsi="楷体_GB2312" w:eastAsia="楷体_GB2312" w:cs="楷体_GB2312"/>
          <w:b/>
          <w:bCs/>
          <w:color w:val="000000"/>
          <w:kern w:val="0"/>
          <w:sz w:val="32"/>
          <w:szCs w:val="32"/>
          <w:shd w:val="clear" w:color="auto" w:fill="FFFFFF"/>
        </w:rPr>
        <w:t>（一）机构组成。</w:t>
      </w:r>
      <w:r>
        <w:rPr>
          <w:rFonts w:hint="eastAsia" w:ascii="仿宋_GB2312" w:hAnsi="仿宋_GB2312" w:eastAsia="仿宋_GB2312" w:cs="仿宋_GB2312"/>
          <w:color w:val="000000"/>
          <w:kern w:val="0"/>
          <w:sz w:val="32"/>
          <w:szCs w:val="32"/>
          <w:shd w:val="clear" w:color="auto" w:fill="FFFFFF"/>
        </w:rPr>
        <w:t>阿坝州住房和城乡建设局根据《中共阿坝州委机构编制委员会关于调整州住房和城乡建设局机构编制事项的通知》（阿编发[2019]77号）以及《中共阿坝州委机构编制委员会关于调整州住房和城乡建设局所属事业单位有关机构编制事项的通知》（阿编发[2019]53号）批准，下属阿坝州城市管理综合行政执法监督局、阿坝州建设工程质量安全监督站（州工程造价站）2个直属参公事业单位和阿坝州城乡环境综合治理服务中心、阿坝州房产交易中心2个直属事业单位。</w:t>
      </w:r>
    </w:p>
    <w:p>
      <w:pPr>
        <w:spacing w:line="580" w:lineRule="exact"/>
        <w:ind w:firstLine="643" w:firstLineChars="200"/>
        <w:rPr>
          <w:rFonts w:hint="eastAsia" w:ascii="仿宋_GB2312" w:hAnsi="仿宋_GB2312" w:eastAsia="仿宋_GB2312" w:cs="仿宋_GB2312"/>
          <w:color w:val="000000"/>
          <w:kern w:val="0"/>
          <w:sz w:val="32"/>
          <w:szCs w:val="32"/>
          <w:shd w:val="clear" w:color="auto" w:fill="FFFFFF"/>
        </w:rPr>
      </w:pPr>
      <w:r>
        <w:rPr>
          <w:rFonts w:hint="eastAsia" w:ascii="楷体_GB2312" w:hAnsi="楷体_GB2312" w:eastAsia="楷体_GB2312" w:cs="楷体_GB2312"/>
          <w:b/>
          <w:bCs/>
          <w:color w:val="000000"/>
          <w:kern w:val="0"/>
          <w:sz w:val="32"/>
          <w:szCs w:val="32"/>
          <w:shd w:val="clear" w:color="auto" w:fill="FFFFFF"/>
        </w:rPr>
        <w:t>（二）机构职能。</w:t>
      </w:r>
      <w:r>
        <w:rPr>
          <w:rFonts w:hint="eastAsia" w:ascii="仿宋_GB2312" w:hAnsi="仿宋_GB2312" w:eastAsia="仿宋_GB2312" w:cs="仿宋_GB2312"/>
          <w:color w:val="000000"/>
          <w:kern w:val="0"/>
          <w:sz w:val="32"/>
          <w:szCs w:val="32"/>
          <w:shd w:val="clear" w:color="auto" w:fill="FFFFFF"/>
        </w:rPr>
        <w:t>阿坝州住房和城乡建设局根据《中共阿坝州委机构编制委员会关于调整州住房和城乡建设局机构编制事项的通知》（阿编发[2019]77号）批准，贯彻执行国家有关住房和城乡建设的法律、法规、规章和方针政策，统筹发展全州住房和城乡建设工作。</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阿坝州建设工程质量安全监督站（州工程造价站）负责全州建筑工程施工质量、安全生产、工地环保、竣工验收备案等工作的实施、监督执行及技术指导；负责全州建设工程监理、工程质量检测及鉴定行业的监督管理；提供全州建筑工程质量安全事故的调查服务。阿坝州城市管理综合行政执法监督局贯彻执行国家有关城市管理执法的法律、法规、规章和方针政策；组织拟订全州城市管理政策措施并监督执行；负责全州城市管理执法业务指导、组织协调、监督检查工作，指导全州城市管理执法队伍建设；组织查处涉及城乡建设领域重大案件，协调、监督跨县（市）案件的查处。</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阿坝州城乡环境综合治理服务中心依据国家、地方有关城市建设管理法律、法规、规章和《四川省城乡环境综合治理条例》等行政法规，对违反城乡环境综合治理的违法违章行为依法实施监察和处置，对全州城乡环境综合治理工作的监督、检查、指导。阿坝州房产交易中心负责宣传和执行国家、省、州有关房地产权登记管理方面的法律、法规、政策；负责全州商品房预售登记，预购登记，预售资金监督及预售商品房广告监督；负责对全州房地产交易、登记、转移、赠与、继承、租赁等活动的监管；负责全州房地产信息网络平台的建设、维护和管理；接受州级公安局、检察院、法院、纪委、组织部、省建设厅这六部门对全州特定人员的房产核查工作。</w:t>
      </w:r>
    </w:p>
    <w:p>
      <w:pPr>
        <w:spacing w:line="580" w:lineRule="exact"/>
        <w:ind w:firstLine="643" w:firstLineChars="200"/>
        <w:rPr>
          <w:rFonts w:hint="eastAsia" w:ascii="仿宋_GB2312" w:hAnsi="仿宋_GB2312" w:eastAsia="仿宋_GB2312" w:cs="仿宋_GB2312"/>
          <w:color w:val="000000"/>
          <w:kern w:val="0"/>
          <w:sz w:val="32"/>
          <w:szCs w:val="32"/>
          <w:shd w:val="clear" w:color="auto" w:fill="FFFFFF"/>
        </w:rPr>
      </w:pPr>
      <w:r>
        <w:rPr>
          <w:rFonts w:hint="eastAsia" w:ascii="楷体_GB2312" w:hAnsi="楷体_GB2312" w:eastAsia="楷体_GB2312" w:cs="楷体_GB2312"/>
          <w:b/>
          <w:bCs/>
          <w:color w:val="000000"/>
          <w:kern w:val="0"/>
          <w:sz w:val="32"/>
          <w:szCs w:val="32"/>
          <w:shd w:val="clear" w:color="auto" w:fill="FFFFFF"/>
        </w:rPr>
        <w:t>（三）人员概况</w:t>
      </w:r>
      <w:r>
        <w:rPr>
          <w:rFonts w:hint="eastAsia" w:ascii="仿宋_GB2312" w:hAnsi="仿宋_GB2312" w:eastAsia="仿宋_GB2312" w:cs="仿宋_GB2312"/>
          <w:color w:val="000000"/>
          <w:kern w:val="0"/>
          <w:sz w:val="32"/>
          <w:szCs w:val="32"/>
          <w:shd w:val="clear" w:color="auto" w:fill="FFFFFF"/>
        </w:rPr>
        <w:t>。阿坝州住房和城乡建设局现有编制47名，其中行政编制20名（含行政工勤3名），参公编制16名，事业编制11名。</w:t>
      </w:r>
      <w:r>
        <w:rPr>
          <w:rFonts w:hint="eastAsia" w:ascii="仿宋_GB2312" w:hAnsi="仿宋_GB2312" w:eastAsia="仿宋_GB2312" w:cs="仿宋_GB2312"/>
          <w:color w:val="000000"/>
          <w:kern w:val="0"/>
          <w:sz w:val="32"/>
          <w:szCs w:val="32"/>
          <w:shd w:val="clear" w:color="auto" w:fill="FFFFFF"/>
          <w:lang w:val="en-US" w:eastAsia="zh-CN"/>
        </w:rPr>
        <w:t>2019年末</w:t>
      </w:r>
      <w:r>
        <w:rPr>
          <w:rFonts w:hint="eastAsia" w:ascii="仿宋_GB2312" w:hAnsi="仿宋_GB2312" w:eastAsia="仿宋_GB2312" w:cs="仿宋_GB2312"/>
          <w:color w:val="000000"/>
          <w:kern w:val="0"/>
          <w:sz w:val="32"/>
          <w:szCs w:val="32"/>
          <w:shd w:val="clear" w:color="auto" w:fill="FFFFFF"/>
        </w:rPr>
        <w:t>实有在职人员42人，其中：行政</w:t>
      </w:r>
      <w:r>
        <w:rPr>
          <w:rFonts w:hint="eastAsia" w:ascii="仿宋_GB2312" w:hAnsi="仿宋_GB2312" w:eastAsia="仿宋_GB2312" w:cs="仿宋_GB2312"/>
          <w:color w:val="000000"/>
          <w:kern w:val="0"/>
          <w:sz w:val="32"/>
          <w:szCs w:val="32"/>
          <w:shd w:val="clear" w:color="auto" w:fill="FFFFFF"/>
          <w:lang w:val="en-US" w:eastAsia="zh-CN"/>
        </w:rPr>
        <w:t>16</w:t>
      </w:r>
      <w:r>
        <w:rPr>
          <w:rFonts w:hint="eastAsia" w:ascii="仿宋_GB2312" w:hAnsi="仿宋_GB2312" w:eastAsia="仿宋_GB2312" w:cs="仿宋_GB2312"/>
          <w:color w:val="000000"/>
          <w:kern w:val="0"/>
          <w:sz w:val="32"/>
          <w:szCs w:val="32"/>
          <w:shd w:val="clear" w:color="auto" w:fill="FFFFFF"/>
        </w:rPr>
        <w:t>人，参公14人，事业</w:t>
      </w:r>
      <w:r>
        <w:rPr>
          <w:rFonts w:hint="eastAsia" w:ascii="仿宋_GB2312" w:hAnsi="仿宋_GB2312" w:eastAsia="仿宋_GB2312" w:cs="仿宋_GB2312"/>
          <w:color w:val="000000"/>
          <w:kern w:val="0"/>
          <w:sz w:val="32"/>
          <w:szCs w:val="32"/>
          <w:shd w:val="clear" w:color="auto" w:fill="FFFFFF"/>
          <w:lang w:val="en-US" w:eastAsia="zh-CN"/>
        </w:rPr>
        <w:t>10</w:t>
      </w:r>
      <w:r>
        <w:rPr>
          <w:rFonts w:hint="eastAsia" w:ascii="仿宋_GB2312" w:hAnsi="仿宋_GB2312" w:eastAsia="仿宋_GB2312" w:cs="仿宋_GB2312"/>
          <w:color w:val="000000"/>
          <w:kern w:val="0"/>
          <w:sz w:val="32"/>
          <w:szCs w:val="32"/>
          <w:shd w:val="clear" w:color="auto" w:fill="FFFFFF"/>
        </w:rPr>
        <w:t>人。实有退休人员</w:t>
      </w:r>
      <w:r>
        <w:rPr>
          <w:rFonts w:hint="eastAsia" w:ascii="仿宋_GB2312" w:hAnsi="仿宋_GB2312" w:eastAsia="仿宋_GB2312" w:cs="仿宋_GB2312"/>
          <w:color w:val="000000"/>
          <w:kern w:val="0"/>
          <w:sz w:val="32"/>
          <w:szCs w:val="32"/>
          <w:shd w:val="clear" w:color="auto" w:fill="FFFFFF"/>
          <w:lang w:val="en-US" w:eastAsia="zh-CN"/>
        </w:rPr>
        <w:t>16</w:t>
      </w:r>
      <w:r>
        <w:rPr>
          <w:rFonts w:hint="eastAsia" w:ascii="仿宋_GB2312" w:hAnsi="仿宋_GB2312" w:eastAsia="仿宋_GB2312" w:cs="仿宋_GB2312"/>
          <w:color w:val="000000"/>
          <w:kern w:val="0"/>
          <w:sz w:val="32"/>
          <w:szCs w:val="32"/>
          <w:shd w:val="clear" w:color="auto" w:fill="FFFFFF"/>
        </w:rPr>
        <w:t>人。</w:t>
      </w:r>
    </w:p>
    <w:p>
      <w:pPr>
        <w:spacing w:line="580" w:lineRule="exact"/>
        <w:ind w:firstLine="640" w:firstLineChars="200"/>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二、部门财政资金收支情况</w:t>
      </w:r>
    </w:p>
    <w:p>
      <w:pPr>
        <w:spacing w:line="580" w:lineRule="exact"/>
        <w:ind w:firstLine="643" w:firstLineChars="200"/>
        <w:rPr>
          <w:rFonts w:hint="eastAsia" w:ascii="楷体_GB2312" w:hAnsi="楷体_GB2312" w:eastAsia="楷体_GB2312" w:cs="楷体_GB2312"/>
          <w:color w:val="000000"/>
          <w:kern w:val="0"/>
          <w:sz w:val="32"/>
          <w:szCs w:val="32"/>
          <w:shd w:val="clear" w:color="auto" w:fill="FFFFFF"/>
        </w:rPr>
      </w:pPr>
      <w:r>
        <w:rPr>
          <w:rFonts w:hint="eastAsia" w:ascii="楷体_GB2312" w:hAnsi="楷体_GB2312" w:eastAsia="楷体_GB2312" w:cs="楷体_GB2312"/>
          <w:b/>
          <w:bCs/>
          <w:color w:val="000000"/>
          <w:kern w:val="0"/>
          <w:sz w:val="32"/>
          <w:szCs w:val="32"/>
          <w:shd w:val="clear" w:color="auto" w:fill="FFFFFF"/>
        </w:rPr>
        <w:t>（一）部门财政资金收入情况</w:t>
      </w:r>
      <w:r>
        <w:rPr>
          <w:rFonts w:hint="eastAsia" w:ascii="楷体_GB2312" w:hAnsi="楷体_GB2312" w:eastAsia="楷体_GB2312" w:cs="楷体_GB2312"/>
          <w:color w:val="000000"/>
          <w:kern w:val="0"/>
          <w:sz w:val="32"/>
          <w:szCs w:val="32"/>
          <w:shd w:val="clear" w:color="auto" w:fill="FFFFFF"/>
        </w:rPr>
        <w:t>。</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2019年度一般公共预算财政拨款收入14442024.06元，其中年初结转和结余1717955元。本年支出总计14442024.06元，其中年末结转和结余1489900元。基本支出数为7938031.69元，占61.29%；项目支出数为5014092.37元，占38.71%。基本支出中，人员经费支出6636394.64元，占83.60%；日常公用经费支出1301637.05万元，占16.40%。</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2020年度一般公共预算拨款收入1521.73万元，上年结转148.99万元，事业收入0万元，其他收入0万元；支出包括：社会保障和就业支出160.31万元，卫生健康支出34.62万元，城乡社区支出1395.95万元，住房保障支出77.3万元。</w:t>
      </w:r>
    </w:p>
    <w:p>
      <w:pPr>
        <w:spacing w:line="580" w:lineRule="exact"/>
        <w:ind w:firstLine="643" w:firstLineChars="200"/>
        <w:rPr>
          <w:rFonts w:hint="eastAsia" w:ascii="楷体_GB2312" w:hAnsi="楷体_GB2312" w:eastAsia="楷体_GB2312" w:cs="楷体_GB2312"/>
          <w:b/>
          <w:bCs/>
          <w:color w:val="000000"/>
          <w:kern w:val="0"/>
          <w:sz w:val="32"/>
          <w:szCs w:val="32"/>
          <w:shd w:val="clear" w:color="auto" w:fill="FFFFFF"/>
        </w:rPr>
      </w:pPr>
      <w:r>
        <w:rPr>
          <w:rFonts w:hint="eastAsia" w:ascii="楷体_GB2312" w:hAnsi="楷体_GB2312" w:eastAsia="楷体_GB2312" w:cs="楷体_GB2312"/>
          <w:b/>
          <w:bCs/>
          <w:color w:val="000000"/>
          <w:kern w:val="0"/>
          <w:sz w:val="32"/>
          <w:szCs w:val="32"/>
          <w:shd w:val="clear" w:color="auto" w:fill="FFFFFF"/>
        </w:rPr>
        <w:t>（二）部门财政资金支出情况。</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 xml:space="preserve"> 2019年单位负责实施项目支出情况为：各项业务培训经费482680元；阿坝州工程项目审批管理平台建设经费1772400元；阿坝州公共厕所专项规划编制经费238200元；阿坝州国家级传统村落专项规划编制经费238500元；全州住建单位视频会议系统设备及网络维护费258600元；办公设备采购144028元；阿坝州房产交易中心系统运行维护及托管费188000元；公务用车大修71974元；阿坝州脱贫攻坚农房建设指导手册设计及印刷费874800元；阿坝州国家级传统村落宣传推广工作经费96600元。</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2019年末结转和结余项目资金1489900元，分别是：阿坝州传统村落规划编制经费556500元；阿坝州公共厕所专项规划编制经费555800元；阿坝州工程项目审批管理平台建设经费27600元；公务用车购置缺口资金350000元。</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2019年其他财政收支情况为：2019年度取得利息收入628.92元，已于2020年初上缴国库；2019年度上交财政代管资金150000元；2019年度取得罚没收入675000元，已全额上交国库。</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截止2020年7月31日，单位项目经费支出2312575元（阿坝州工程建设项目审批管理平台建设经费1772400元，公务用车更新购置经费347800元，领导干部个人房产信息查核系统维护费8000元，阿坝州“十四五”住房和城乡建设事业发展规划177000元，各项工作经费7375元），支出进度为29.76%；人员经费支出4077440.46元，支出进度为47.65%；公用经费支出1049827.89元，支出进度为47.73%。</w:t>
      </w:r>
    </w:p>
    <w:p>
      <w:pPr>
        <w:spacing w:line="580" w:lineRule="exact"/>
        <w:ind w:firstLine="640" w:firstLineChars="200"/>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三、部门财政支出管理情况</w:t>
      </w:r>
    </w:p>
    <w:p>
      <w:pPr>
        <w:spacing w:line="580" w:lineRule="exact"/>
        <w:ind w:firstLine="643" w:firstLineChars="200"/>
        <w:rPr>
          <w:rFonts w:hint="eastAsia" w:ascii="楷体_GB2312" w:hAnsi="楷体_GB2312" w:eastAsia="楷体_GB2312" w:cs="楷体_GB2312"/>
          <w:b/>
          <w:bCs/>
          <w:color w:val="000000"/>
          <w:kern w:val="0"/>
          <w:sz w:val="32"/>
          <w:szCs w:val="32"/>
          <w:shd w:val="clear" w:color="auto" w:fill="FFFFFF"/>
        </w:rPr>
      </w:pPr>
      <w:r>
        <w:rPr>
          <w:rFonts w:hint="eastAsia" w:ascii="楷体_GB2312" w:hAnsi="楷体_GB2312" w:eastAsia="楷体_GB2312" w:cs="楷体_GB2312"/>
          <w:b/>
          <w:bCs/>
          <w:color w:val="000000"/>
          <w:kern w:val="0"/>
          <w:sz w:val="32"/>
          <w:szCs w:val="32"/>
          <w:shd w:val="clear" w:color="auto" w:fill="FFFFFF"/>
        </w:rPr>
        <w:t>（一）预算编制情况。</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部门预算编制工作与部门年度工作安排紧密相关，与各业务科室紧密相连。我局领导高度重视部门预算编制工作，结合单位的中心工作、近几年来的工作开展情况、上级领导及其主管部门对下一年度的工作思路，通过准确填报部门基础信息、合理测算项目支出、提高采购编制的完整性等途径，不断提高预算编制精细化水平，不断完善项目绩效评价体系。</w:t>
      </w:r>
    </w:p>
    <w:p>
      <w:pPr>
        <w:spacing w:line="580" w:lineRule="exact"/>
        <w:ind w:firstLine="643" w:firstLineChars="200"/>
        <w:rPr>
          <w:rFonts w:hint="eastAsia" w:ascii="仿宋_GB2312" w:hAnsi="仿宋_GB2312" w:eastAsia="仿宋_GB2312" w:cs="仿宋_GB2312"/>
          <w:color w:val="000000"/>
          <w:kern w:val="0"/>
          <w:sz w:val="32"/>
          <w:szCs w:val="32"/>
          <w:shd w:val="clear" w:color="auto" w:fill="FFFFFF"/>
        </w:rPr>
      </w:pPr>
      <w:r>
        <w:rPr>
          <w:rFonts w:hint="eastAsia" w:ascii="楷体_GB2312" w:hAnsi="楷体_GB2312" w:eastAsia="楷体_GB2312" w:cs="楷体_GB2312"/>
          <w:b/>
          <w:bCs/>
          <w:color w:val="000000"/>
          <w:kern w:val="0"/>
          <w:sz w:val="32"/>
          <w:szCs w:val="32"/>
          <w:shd w:val="clear" w:color="auto" w:fill="FFFFFF"/>
        </w:rPr>
        <w:t>（二）执行管理情况。</w:t>
      </w:r>
      <w:r>
        <w:rPr>
          <w:rFonts w:hint="eastAsia" w:ascii="仿宋_GB2312" w:hAnsi="仿宋_GB2312" w:eastAsia="仿宋_GB2312" w:cs="仿宋_GB2312"/>
          <w:color w:val="000000"/>
          <w:kern w:val="0"/>
          <w:sz w:val="32"/>
          <w:szCs w:val="32"/>
          <w:shd w:val="clear" w:color="auto" w:fill="FFFFFF"/>
        </w:rPr>
        <w:tab/>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在执行管理方面，我局能认真贯彻执行《会计法》、《会计基础工作规范》、《行政单位会计制度》等各类财务会计制度，设立了专职的会计、出纳岗位，严格执行会计人员从业资格准入制度，配备了具有会计从业资格的人员从事财务工作，制定了我局相关的财务管理制度，明确了会计、出纳岗位职责，严格执行会计制度，按规定进行会计账簿和科目的设置，按规定设立银行账户，不断健全财务审批制度，实行单位主管财务领导、分管领导审批制度，按规定进行报账记账，坚决杜绝账外账、多头开户、违规开户和违规使用资金的现象，不断加强财务管理，建立完善会计档案，不断规范了单位财务工作，保证了各类资金的合理有效使用。</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建立健全财务会计管理制度，财务会计安排专人负责，做好资金预算编制和有效的使用资金，监督资金的正常运行，维护资金的安全。做好会计核算工作，建立会计核算档案，包括会计凭证、会计账薄、会计报表和其他会计资料。经自查，会计资料真实完整，核算合规。</w:t>
      </w:r>
    </w:p>
    <w:p>
      <w:pPr>
        <w:spacing w:line="580" w:lineRule="exact"/>
        <w:ind w:firstLine="643" w:firstLineChars="200"/>
        <w:rPr>
          <w:rFonts w:hint="eastAsia" w:ascii="楷体_GB2312" w:hAnsi="楷体_GB2312" w:eastAsia="楷体_GB2312" w:cs="楷体_GB2312"/>
          <w:b/>
          <w:bCs/>
          <w:color w:val="000000"/>
          <w:kern w:val="0"/>
          <w:sz w:val="32"/>
          <w:szCs w:val="32"/>
          <w:shd w:val="clear" w:color="auto" w:fill="FFFFFF"/>
        </w:rPr>
      </w:pPr>
      <w:r>
        <w:rPr>
          <w:rFonts w:hint="eastAsia" w:ascii="楷体_GB2312" w:hAnsi="楷体_GB2312" w:eastAsia="楷体_GB2312" w:cs="楷体_GB2312"/>
          <w:b/>
          <w:bCs/>
          <w:color w:val="000000"/>
          <w:kern w:val="0"/>
          <w:sz w:val="32"/>
          <w:szCs w:val="32"/>
          <w:shd w:val="clear" w:color="auto" w:fill="FFFFFF"/>
        </w:rPr>
        <w:t>（三）综合管理情况。</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根据我局工作实际，在建立并实施内部监督和控制制度过程中，建立了《进一步规范财务报账加强财务管理制度》等相关内部管理制度。严格执行政府采购制度及我局财务内控制度，重大事项须通过全体班子会议，再向财政部门申请同意后，方可采购。</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 xml:space="preserve">建立和完善各项制度的同时，相关人员在工作过程中严格遵守规章制度，有效地实施了内部监督和控制，保证了会计工作的真实性、完整性以及单位财产的安全，加强了对各项资产的监督和管理，杜绝了各种漏洞的发生，达到了以下三点要求：  </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 xml:space="preserve">1.明确了记账人员与审批人员、经办人员的职责权限，使其相互分离、相互制约，以明确责任，防止舞弊，各项会计事项得以有序进行。  </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 xml:space="preserve">2.明确了财务收支审批程序和审批人的职责和权限，规范了各项资金的使用，提高了资金使用效益。  </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3.明确了经费支出的开支范围和标准，采取各种有效措施控制经费开支，杜绝了浪费现象的发生。</w:t>
      </w:r>
    </w:p>
    <w:p>
      <w:pPr>
        <w:spacing w:line="580" w:lineRule="exact"/>
        <w:ind w:firstLine="643" w:firstLineChars="200"/>
        <w:rPr>
          <w:rFonts w:hint="eastAsia" w:ascii="楷体_GB2312" w:hAnsi="楷体_GB2312" w:eastAsia="楷体_GB2312" w:cs="楷体_GB2312"/>
          <w:b/>
          <w:bCs/>
          <w:color w:val="000000"/>
          <w:kern w:val="0"/>
          <w:sz w:val="32"/>
          <w:szCs w:val="32"/>
          <w:shd w:val="clear" w:color="auto" w:fill="FFFFFF"/>
        </w:rPr>
      </w:pPr>
      <w:r>
        <w:rPr>
          <w:rFonts w:hint="eastAsia" w:ascii="楷体_GB2312" w:hAnsi="楷体_GB2312" w:eastAsia="楷体_GB2312" w:cs="楷体_GB2312"/>
          <w:b/>
          <w:bCs/>
          <w:color w:val="000000"/>
          <w:kern w:val="0"/>
          <w:sz w:val="32"/>
          <w:szCs w:val="32"/>
          <w:shd w:val="clear" w:color="auto" w:fill="FFFFFF"/>
        </w:rPr>
        <w:t>（四）整体绩效。</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2019年，单位较好的完成了年初制定的重点工作任务，有序推进脱贫攻坚住房保障工作，持续推进全州住房和城乡建设事业</w:t>
      </w:r>
      <w:r>
        <w:rPr>
          <w:rFonts w:hint="eastAsia" w:ascii="仿宋_GB2312" w:hAnsi="仿宋_GB2312" w:eastAsia="仿宋_GB2312" w:cs="仿宋_GB2312"/>
          <w:color w:val="000000"/>
          <w:kern w:val="0"/>
          <w:sz w:val="32"/>
          <w:szCs w:val="32"/>
          <w:shd w:val="clear" w:color="auto" w:fill="FFFFFF"/>
          <w:lang w:val="en-US" w:eastAsia="zh-CN"/>
        </w:rPr>
        <w:t>健康</w:t>
      </w:r>
      <w:r>
        <w:rPr>
          <w:rFonts w:hint="eastAsia" w:ascii="仿宋_GB2312" w:hAnsi="仿宋_GB2312" w:eastAsia="仿宋_GB2312" w:cs="仿宋_GB2312"/>
          <w:color w:val="000000"/>
          <w:kern w:val="0"/>
          <w:sz w:val="32"/>
          <w:szCs w:val="32"/>
          <w:shd w:val="clear" w:color="auto" w:fill="FFFFFF"/>
        </w:rPr>
        <w:t>发展。</w:t>
      </w:r>
    </w:p>
    <w:p>
      <w:pPr>
        <w:spacing w:line="580" w:lineRule="exact"/>
        <w:ind w:firstLine="640" w:firstLineChars="200"/>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四、评价结论及建议</w:t>
      </w:r>
    </w:p>
    <w:p>
      <w:pPr>
        <w:spacing w:line="580" w:lineRule="exact"/>
        <w:ind w:firstLine="643" w:firstLineChars="200"/>
        <w:rPr>
          <w:rFonts w:hint="eastAsia" w:ascii="楷体_GB2312" w:hAnsi="楷体_GB2312" w:eastAsia="楷体_GB2312" w:cs="楷体_GB2312"/>
          <w:b/>
          <w:bCs/>
          <w:color w:val="000000"/>
          <w:kern w:val="0"/>
          <w:sz w:val="32"/>
          <w:szCs w:val="32"/>
          <w:shd w:val="clear" w:color="auto" w:fill="FFFFFF"/>
        </w:rPr>
      </w:pPr>
      <w:r>
        <w:rPr>
          <w:rFonts w:hint="eastAsia" w:ascii="楷体_GB2312" w:hAnsi="楷体_GB2312" w:eastAsia="楷体_GB2312" w:cs="楷体_GB2312"/>
          <w:b/>
          <w:bCs/>
          <w:color w:val="000000"/>
          <w:kern w:val="0"/>
          <w:sz w:val="32"/>
          <w:szCs w:val="32"/>
          <w:shd w:val="clear" w:color="auto" w:fill="FFFFFF"/>
        </w:rPr>
        <w:t>（一）评价结论。</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2019年度，单位较好的完成了年初预算绩效目标任务，</w:t>
      </w:r>
      <w:r>
        <w:rPr>
          <w:rFonts w:hint="eastAsia" w:ascii="仿宋_GB2312" w:hAnsi="仿宋_GB2312" w:eastAsia="仿宋_GB2312" w:cs="仿宋_GB2312"/>
          <w:color w:val="000000"/>
          <w:kern w:val="0"/>
          <w:sz w:val="32"/>
          <w:szCs w:val="32"/>
          <w:shd w:val="clear" w:color="auto" w:fill="FFFFFF"/>
          <w:lang w:val="en-US" w:eastAsia="zh-CN"/>
        </w:rPr>
        <w:t>预算执行效率效益较高。</w:t>
      </w:r>
    </w:p>
    <w:p>
      <w:pPr>
        <w:spacing w:line="580" w:lineRule="exact"/>
        <w:ind w:firstLine="643" w:firstLineChars="200"/>
        <w:rPr>
          <w:rFonts w:hint="eastAsia" w:ascii="楷体_GB2312" w:hAnsi="楷体_GB2312" w:eastAsia="楷体_GB2312" w:cs="楷体_GB2312"/>
          <w:b/>
          <w:bCs/>
          <w:color w:val="000000"/>
          <w:kern w:val="0"/>
          <w:sz w:val="32"/>
          <w:szCs w:val="32"/>
          <w:shd w:val="clear" w:color="auto" w:fill="FFFFFF"/>
        </w:rPr>
      </w:pPr>
      <w:r>
        <w:rPr>
          <w:rFonts w:hint="eastAsia" w:ascii="楷体_GB2312" w:hAnsi="楷体_GB2312" w:eastAsia="楷体_GB2312" w:cs="楷体_GB2312"/>
          <w:b/>
          <w:bCs/>
          <w:color w:val="000000"/>
          <w:kern w:val="0"/>
          <w:sz w:val="32"/>
          <w:szCs w:val="32"/>
          <w:shd w:val="clear" w:color="auto" w:fill="FFFFFF"/>
        </w:rPr>
        <w:t>（二）存在问题。</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lang w:eastAsia="zh-CN"/>
        </w:rPr>
      </w:pPr>
      <w:r>
        <w:rPr>
          <w:rFonts w:hint="eastAsia" w:ascii="仿宋_GB2312" w:hAnsi="仿宋_GB2312" w:eastAsia="仿宋_GB2312" w:cs="仿宋_GB2312"/>
          <w:color w:val="000000"/>
          <w:kern w:val="0"/>
          <w:sz w:val="32"/>
          <w:szCs w:val="32"/>
          <w:shd w:val="clear" w:color="auto" w:fill="FFFFFF"/>
        </w:rPr>
        <w:t>单位部分项目推进较缓慢</w:t>
      </w:r>
      <w:r>
        <w:rPr>
          <w:rFonts w:hint="eastAsia" w:ascii="仿宋_GB2312" w:hAnsi="仿宋_GB2312" w:eastAsia="仿宋_GB2312" w:cs="仿宋_GB2312"/>
          <w:color w:val="000000"/>
          <w:kern w:val="0"/>
          <w:sz w:val="32"/>
          <w:szCs w:val="32"/>
          <w:shd w:val="clear" w:color="auto" w:fill="FFFFFF"/>
          <w:lang w:eastAsia="zh-CN"/>
        </w:rPr>
        <w:t>，</w:t>
      </w:r>
      <w:r>
        <w:rPr>
          <w:rFonts w:hint="eastAsia" w:ascii="仿宋_GB2312" w:hAnsi="仿宋_GB2312" w:eastAsia="仿宋_GB2312" w:cs="仿宋_GB2312"/>
          <w:color w:val="000000"/>
          <w:kern w:val="0"/>
          <w:sz w:val="32"/>
          <w:szCs w:val="32"/>
          <w:shd w:val="clear" w:color="auto" w:fill="FFFFFF"/>
          <w:lang w:val="en-US" w:eastAsia="zh-CN"/>
        </w:rPr>
        <w:t>表现为项目资金支付进度较慢</w:t>
      </w:r>
      <w:r>
        <w:rPr>
          <w:rFonts w:hint="eastAsia" w:ascii="仿宋_GB2312" w:hAnsi="仿宋_GB2312" w:eastAsia="仿宋_GB2312" w:cs="仿宋_GB2312"/>
          <w:color w:val="000000"/>
          <w:kern w:val="0"/>
          <w:sz w:val="32"/>
          <w:szCs w:val="32"/>
          <w:shd w:val="clear" w:color="auto" w:fill="FFFFFF"/>
          <w:lang w:eastAsia="zh-CN"/>
        </w:rPr>
        <w:t>。</w:t>
      </w:r>
    </w:p>
    <w:p>
      <w:pPr>
        <w:spacing w:line="580" w:lineRule="exact"/>
        <w:ind w:firstLine="643" w:firstLineChars="200"/>
        <w:rPr>
          <w:rFonts w:hint="eastAsia" w:ascii="楷体_GB2312" w:hAnsi="楷体_GB2312" w:eastAsia="楷体_GB2312" w:cs="楷体_GB2312"/>
          <w:b/>
          <w:bCs/>
          <w:color w:val="000000"/>
          <w:kern w:val="0"/>
          <w:sz w:val="32"/>
          <w:szCs w:val="32"/>
          <w:shd w:val="clear" w:color="auto" w:fill="FFFFFF"/>
        </w:rPr>
      </w:pPr>
      <w:r>
        <w:rPr>
          <w:rFonts w:hint="eastAsia" w:ascii="楷体_GB2312" w:hAnsi="楷体_GB2312" w:eastAsia="楷体_GB2312" w:cs="楷体_GB2312"/>
          <w:b/>
          <w:bCs/>
          <w:color w:val="000000"/>
          <w:kern w:val="0"/>
          <w:sz w:val="32"/>
          <w:szCs w:val="32"/>
          <w:shd w:val="clear" w:color="auto" w:fill="FFFFFF"/>
        </w:rPr>
        <w:t>（</w:t>
      </w:r>
      <w:r>
        <w:rPr>
          <w:rFonts w:hint="eastAsia" w:ascii="楷体_GB2312" w:hAnsi="楷体_GB2312" w:eastAsia="楷体_GB2312" w:cs="楷体_GB2312"/>
          <w:b/>
          <w:bCs/>
          <w:color w:val="000000"/>
          <w:kern w:val="0"/>
          <w:sz w:val="32"/>
          <w:szCs w:val="32"/>
          <w:shd w:val="clear" w:color="auto" w:fill="FFFFFF"/>
          <w:lang w:val="en-US" w:eastAsia="zh-CN"/>
        </w:rPr>
        <w:t>三</w:t>
      </w:r>
      <w:r>
        <w:rPr>
          <w:rFonts w:hint="eastAsia" w:ascii="楷体_GB2312" w:hAnsi="楷体_GB2312" w:eastAsia="楷体_GB2312" w:cs="楷体_GB2312"/>
          <w:b/>
          <w:bCs/>
          <w:color w:val="000000"/>
          <w:kern w:val="0"/>
          <w:sz w:val="32"/>
          <w:szCs w:val="32"/>
          <w:shd w:val="clear" w:color="auto" w:fill="FFFFFF"/>
        </w:rPr>
        <w:t>）改进建议。</w:t>
      </w:r>
    </w:p>
    <w:p>
      <w:pPr>
        <w:spacing w:line="580" w:lineRule="exact"/>
        <w:ind w:firstLine="643" w:firstLineChars="200"/>
        <w:rPr>
          <w:rFonts w:hint="eastAsia" w:ascii="仿宋_GB2312" w:hAnsi="仿宋_GB2312" w:eastAsia="仿宋_GB2312" w:cs="仿宋_GB2312"/>
          <w:b/>
          <w:bCs/>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1.建立健全部门内部控制制度</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为严格预算执行，防范财务风险，确保财政资金使用安全，防止铺张浪费，必须建立健全内部控制制度。首先是要完善建章立制，内部控制不是局限作用于财务管理层面，而是要建成一套环环相扣的动态监督机制，在全局业务运作过程中发挥作用。其次是要提高内部控制意识，认识到内部控制的重要性，让单位所有职工都参与到内部控制的执行中，营造出内部控制的氛围。再次要充分发挥内部审计在内部控制中的作用，重视事前审计，提早纠正违规行为，以免造成重大损失。</w:t>
      </w:r>
    </w:p>
    <w:p>
      <w:pPr>
        <w:spacing w:line="580" w:lineRule="exact"/>
        <w:ind w:firstLine="643" w:firstLineChars="200"/>
        <w:rPr>
          <w:rFonts w:hint="eastAsia" w:ascii="仿宋_GB2312" w:hAnsi="仿宋_GB2312" w:eastAsia="仿宋_GB2312" w:cs="仿宋_GB2312"/>
          <w:b/>
          <w:bCs/>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2.严格执行公用经费支出审批制度</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公用经费是保障部门预算单位机构正常运转和履行行政职能的物资基础，是部门预算的核心部分。建立完善的公用经费支出审批制度，能够从源头上节约部门的运行成本，提高财政资金的使用效益。在下一步工作中，本单位将严格执行公共经费支出审批制度。目前，我单位已于2020年3月起更新单位报账填报单据，使各项要素更加清晰明了。健全制度抓规范，确保内部控制覆盖经济和业务活动的全范围，贯穿内部权力运行的决策、执行和监督全过程，形成良好的长效机制。加强财务管理，把好财政资金使用关口，对财政支出风险进行规范和管控，预防和杜绝违法、违纪、违规行为的发生。</w:t>
      </w:r>
    </w:p>
    <w:p>
      <w:pPr>
        <w:spacing w:line="580" w:lineRule="exact"/>
        <w:ind w:firstLine="643" w:firstLineChars="200"/>
        <w:rPr>
          <w:rFonts w:hint="eastAsia" w:ascii="仿宋_GB2312" w:hAnsi="仿宋_GB2312" w:eastAsia="仿宋_GB2312" w:cs="仿宋_GB2312"/>
          <w:b/>
          <w:bCs/>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3.引进专业财务人员并加强实操培训</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shd w:val="clear" w:color="auto" w:fill="FFFFFF"/>
        </w:rPr>
        <w:t>针对单位财务专业人才匮乏问题，下一步单位将通过招录、考调等方式引入专业财务人员，同时加强对财务人员的实操培训，履行好审核、核算、监督的职责，规范单位的财务管理工作。</w:t>
      </w:r>
    </w:p>
    <w:p>
      <w:pPr>
        <w:spacing w:line="58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line="580" w:lineRule="exact"/>
        <w:ind w:firstLine="640" w:firstLineChars="200"/>
        <w:rPr>
          <w:rFonts w:hint="eastAsia" w:ascii="仿宋_GB2312" w:hAnsi="仿宋_GB2312" w:eastAsia="仿宋_GB2312" w:cs="仿宋_GB2312"/>
          <w:sz w:val="32"/>
          <w:szCs w:val="32"/>
        </w:rPr>
      </w:pPr>
    </w:p>
    <w:p>
      <w:pPr>
        <w:pStyle w:val="31"/>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color w:val="auto"/>
          <w:kern w:val="2"/>
          <w:sz w:val="32"/>
          <w:szCs w:val="32"/>
          <w:lang w:val="en-US" w:eastAsia="zh-CN"/>
        </w:rPr>
      </w:pPr>
      <w:r>
        <w:rPr>
          <w:rFonts w:hint="eastAsia" w:ascii="方正小标宋_GBK" w:hAnsi="方正小标宋_GBK" w:eastAsia="方正小标宋_GBK" w:cs="方正小标宋_GBK"/>
          <w:sz w:val="32"/>
          <w:szCs w:val="32"/>
        </w:rPr>
        <w:t>项目支出绩效自评报告</w:t>
      </w:r>
      <w:r>
        <w:rPr>
          <w:rFonts w:hint="eastAsia" w:ascii="方正小标宋_GBK" w:hAnsi="方正小标宋_GBK" w:eastAsia="方正小标宋_GBK" w:cs="方正小标宋_GBK"/>
          <w:sz w:val="32"/>
          <w:szCs w:val="32"/>
          <w:lang w:val="en-US" w:eastAsia="zh-CN"/>
        </w:rPr>
        <w:t>一</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（阿坝州传统村落保护利用规划编制采购项目）</w:t>
      </w:r>
    </w:p>
    <w:p>
      <w:pPr>
        <w:pStyle w:val="31"/>
        <w:keepNext w:val="0"/>
        <w:keepLines w:val="0"/>
        <w:pageBreakBefore w:val="0"/>
        <w:widowControl w:val="0"/>
        <w:kinsoku/>
        <w:wordWrap/>
        <w:overflowPunct/>
        <w:topLinePunct w:val="0"/>
        <w:autoSpaceDE/>
        <w:autoSpaceDN/>
        <w:bidi w:val="0"/>
        <w:spacing w:line="560" w:lineRule="exact"/>
        <w:ind w:firstLine="640"/>
        <w:jc w:val="center"/>
        <w:textAlignment w:val="auto"/>
        <w:rPr>
          <w:rFonts w:ascii="宋体" w:hAnsi="宋体"/>
          <w:color w:val="auto"/>
          <w:kern w:val="2"/>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一、项目概况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阿坝州传统村落保护利用规划编制采购项目，采购项目编号：5132202019000645， 采购人为阿坝州住房和城乡建设局，采购代理机构为四川智诚工程造价咨询有限责任公司，中标单位为北京清华同衡规划设计研究院有限公司，成交金额79.5万元。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二、资金情况</w:t>
      </w:r>
    </w:p>
    <w:p>
      <w:pPr>
        <w:keepNext w:val="0"/>
        <w:keepLines w:val="0"/>
        <w:pageBreakBefore w:val="0"/>
        <w:widowControl w:val="0"/>
        <w:kinsoku/>
        <w:wordWrap/>
        <w:overflowPunct/>
        <w:topLinePunct w:val="0"/>
        <w:autoSpaceDE/>
        <w:autoSpaceDN/>
        <w:bidi w:val="0"/>
        <w:spacing w:line="560" w:lineRule="exact"/>
        <w:ind w:firstLine="630" w:firstLineChars="196"/>
        <w:textAlignment w:val="auto"/>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阿坝州传统村落保护利用规划编制采购项目</w:t>
      </w:r>
      <w:r>
        <w:rPr>
          <w:rFonts w:hint="eastAsia" w:ascii="仿宋_GB2312" w:hAnsi="仿宋_GB2312" w:eastAsia="仿宋_GB2312" w:cs="仿宋_GB2312"/>
          <w:sz w:val="32"/>
          <w:szCs w:val="32"/>
          <w:lang w:val="en-US" w:eastAsia="zh-CN"/>
        </w:rPr>
        <w:t>经费为</w:t>
      </w:r>
      <w:r>
        <w:rPr>
          <w:rFonts w:hint="eastAsia" w:ascii="仿宋_GB2312" w:hAnsi="仿宋_GB2312" w:eastAsia="仿宋_GB2312" w:cs="仿宋_GB2312"/>
          <w:sz w:val="32"/>
          <w:szCs w:val="32"/>
        </w:rPr>
        <w:t>州本级财政预算资金80万元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通过2019年年初预算下达。</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该项目为阿坝州传统村落保护利用规划编制服务项目，主要依据《住房城乡建设部关于印发传统村落保护发展规划编制基本要求（试行）的通知》（建村[2013]130号），为阿坝州传统村落的保护与发展提供专项规划技术支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规划成果内容：按照住建部颁布的《城市规划编制办法》（2006）及其他规范、标准、规程中对传统村落保护利用规划的技术标准和深度要求进行编制，技术成果分为四大部分：规划文本、规划说明、规划图纸和档案台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3.该项目总工期为6个月，承担方自合同签订之日起6个月内提交最终成果并经委托方审查验收通过。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①第一阶段：合同签订，合同正式签订并按照合同约定支付第一次费用。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第二阶段：自合同签订之日起3个月内，承包方完成初步规划成果1份，并提交委托方进行初审，委托方组织相关单位、专家等进行审查提出修改意见后，承担方应在30日内按照修改意见进行修改完善，并将修改后的成果提交委托方，经委托方书面确认后方可进入下一阶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第三阶段：由双方将按照初审意见修改后的成果提交法定规划审查机构进行审查验收，由承担方按照审查验收意见进行完善，取得相关规划审批机关批复后，于15日内向委托方提交全部修改后的最终成果，委托方确认无误后7日内出具规划成果接收函。</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_GB2312" w:hAnsi="宋体" w:eastAsia="楷体_GB2312"/>
          <w:b/>
          <w:sz w:val="32"/>
          <w:szCs w:val="32"/>
          <w:lang w:val="zh-CN"/>
        </w:rPr>
      </w:pPr>
      <w:r>
        <w:rPr>
          <w:rFonts w:hint="eastAsia" w:ascii="楷体_GB2312" w:hAnsi="宋体" w:eastAsia="楷体_GB2312"/>
          <w:b/>
          <w:sz w:val="32"/>
          <w:szCs w:val="32"/>
          <w:lang w:val="zh-CN"/>
        </w:rPr>
        <w:t>（三）项目资金申报相符性。</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结合全州传统村落实际，该项目申报内容与具体实施内容一致，申报目标合理可行。</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黑体" w:hAnsi="宋体" w:eastAsia="黑体"/>
          <w:sz w:val="32"/>
          <w:szCs w:val="32"/>
        </w:rPr>
      </w:pPr>
      <w:r>
        <w:rPr>
          <w:rFonts w:hint="eastAsia" w:ascii="黑体" w:hAnsi="宋体" w:eastAsia="黑体"/>
          <w:sz w:val="32"/>
          <w:szCs w:val="32"/>
        </w:rPr>
        <w:t>二、项目实施及管理情况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_GB2312" w:hAnsi="宋体" w:eastAsia="楷体_GB2312"/>
          <w:b/>
          <w:sz w:val="32"/>
          <w:szCs w:val="32"/>
          <w:lang w:val="zh-CN"/>
        </w:rPr>
      </w:pPr>
      <w:r>
        <w:rPr>
          <w:rFonts w:hint="eastAsia" w:ascii="仿宋_GB2312" w:hAnsi="宋体"/>
          <w:sz w:val="32"/>
          <w:szCs w:val="32"/>
          <w:lang w:val="zh-CN"/>
        </w:rPr>
        <w:tab/>
      </w:r>
      <w:r>
        <w:rPr>
          <w:rFonts w:hint="eastAsia" w:ascii="楷体_GB2312" w:hAnsi="宋体" w:eastAsia="楷体_GB2312"/>
          <w:b/>
          <w:sz w:val="32"/>
          <w:szCs w:val="32"/>
          <w:lang w:val="zh-CN"/>
        </w:rPr>
        <w:t>（一）资金计划、到位及使用情况。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州本级财政预算资金80万元已到位，目前该项目按照合同约定，已于2019年12月20日第一次支付 238,500.00 元整，占该项目总设计费的30％，支付依据合规合法，资金支付与预算一致。</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宋体"/>
          <w:sz w:val="32"/>
          <w:szCs w:val="32"/>
          <w:lang w:val="zh-CN"/>
        </w:rPr>
      </w:pPr>
      <w:r>
        <w:rPr>
          <w:rFonts w:hint="eastAsia" w:ascii="楷体_GB2312" w:hAnsi="宋体" w:eastAsia="楷体_GB2312"/>
          <w:b/>
          <w:sz w:val="32"/>
          <w:szCs w:val="32"/>
          <w:lang w:val="zh-CN"/>
        </w:rPr>
        <w:t>（二）项目财务管理情况。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阿坝州传统村落保护利用规划编制采购项目</w:t>
      </w:r>
      <w:r>
        <w:rPr>
          <w:rFonts w:hint="eastAsia" w:ascii="仿宋_GB2312" w:hAnsi="仿宋_GB2312" w:eastAsia="仿宋_GB2312" w:cs="仿宋_GB2312"/>
          <w:sz w:val="32"/>
          <w:szCs w:val="32"/>
          <w:lang w:val="en-US" w:eastAsia="zh-CN"/>
        </w:rPr>
        <w:t>经费是财政下达的项目资金，我局严格按照州财政局项目资金管理办法通过财政直接支付方式进行管理，资金支付进度和方式严格按照合同进行，</w:t>
      </w:r>
      <w:r>
        <w:rPr>
          <w:rFonts w:hint="eastAsia" w:ascii="仿宋_GB2312" w:hAnsi="仿宋_GB2312" w:eastAsia="仿宋_GB2312" w:cs="仿宋_GB2312"/>
          <w:sz w:val="32"/>
          <w:szCs w:val="32"/>
          <w:lang w:val="zh-CN"/>
        </w:rPr>
        <w:t>严格</w:t>
      </w:r>
      <w:r>
        <w:rPr>
          <w:rFonts w:hint="eastAsia" w:ascii="仿宋_GB2312" w:hAnsi="仿宋_GB2312" w:eastAsia="仿宋_GB2312" w:cs="仿宋_GB2312"/>
          <w:sz w:val="32"/>
          <w:szCs w:val="32"/>
          <w:lang w:val="en-US" w:eastAsia="zh-CN"/>
        </w:rPr>
        <w:t>遵守各项财务管理制度，</w:t>
      </w:r>
      <w:r>
        <w:rPr>
          <w:rFonts w:hint="eastAsia" w:ascii="仿宋_GB2312" w:hAnsi="仿宋_GB2312" w:eastAsia="仿宋_GB2312" w:cs="仿宋_GB2312"/>
          <w:sz w:val="32"/>
          <w:szCs w:val="32"/>
          <w:lang w:val="zh-CN"/>
        </w:rPr>
        <w:t>及时进行了财务处理、会计核算规范。</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_GB2312" w:hAnsi="宋体" w:eastAsia="楷体_GB2312"/>
          <w:b/>
          <w:sz w:val="32"/>
          <w:szCs w:val="32"/>
          <w:lang w:val="zh-CN"/>
        </w:rPr>
      </w:pPr>
      <w:r>
        <w:rPr>
          <w:rFonts w:hint="eastAsia" w:ascii="楷体_GB2312" w:hAnsi="宋体" w:eastAsia="楷体_GB2312"/>
          <w:b/>
          <w:sz w:val="32"/>
          <w:szCs w:val="32"/>
          <w:lang w:val="zh-CN"/>
        </w:rPr>
        <w:t>（三）项目组织实施情况。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sz w:val="32"/>
          <w:szCs w:val="32"/>
        </w:rPr>
      </w:pPr>
      <w:r>
        <w:rPr>
          <w:rFonts w:hint="eastAsia" w:ascii="仿宋_GB2312" w:hAnsi="仿宋_GB2312" w:eastAsia="仿宋_GB2312" w:cs="仿宋_GB2312"/>
          <w:sz w:val="32"/>
          <w:szCs w:val="32"/>
          <w:lang w:val="zh-CN"/>
        </w:rPr>
        <w:t>该项目由州住房和城乡建设局村镇科主要负责，村镇科前期积极对接了州财政局采管科等，该项目采购所有流程（采购方式变更、招标代理机构选取、招标文件发布、各类公示公告、合同签订等）均按照相关规定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sz w:val="32"/>
          <w:szCs w:val="32"/>
          <w:lang w:val="zh-CN"/>
        </w:rPr>
      </w:pPr>
      <w:r>
        <w:rPr>
          <w:rFonts w:hint="eastAsia" w:ascii="黑体" w:hAnsi="宋体" w:eastAsia="黑体"/>
          <w:sz w:val="32"/>
          <w:szCs w:val="32"/>
        </w:rPr>
        <w:t>三、项目绩效情况</w:t>
      </w:r>
      <w:r>
        <w:rPr>
          <w:rFonts w:hint="eastAsia" w:ascii="仿宋_GB2312" w:hAnsi="宋体"/>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目前委托方正在对项目初步规划成果进行完善，待完善后提交委托方进行初审，委托方组织相关单位、专家等进行审查提出修改意见后，承担方按照修改意见进行修改完善，并将修改后的成果提交委托方，经委托方书面确认后可进入下一阶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该项目为阿坝州传统村落规划编制服务项目，主要依据《住房城乡建设部关于印发传统村落保护发展规划编制基本要求（试行）的通知》（建村[2013]130号），为阿坝州传统村落的保护与发展提供专项规划技术支持。包括但不限于对阿坝州传统村落选址与自然景观环境特征、村落传统格局和整体风貌特征、传统建筑特征、历史环境要素特征、非物质文化遗产特征进行分析，通过与较大区域范围（地理区域、文化区域、民族区域）以及邻近区域内其他村落的比较，综合分析传统村落的特点，评估其历史、艺术、科学、社会等价值，对各种不利于传统资源保护的因素进行分析，并评估这些因素威胁传统村落的程度；根据传统村落的发展环境、保护与发展条件的优劣势，提出村落发展定位及发展途径的建议；提出阿坝州传统村落保护利用存在的主要问题及矛盾；针对阿坝州传统村落实际情况，提出总体保护原则和具体措施；提出建立传统村落保护和发展长效机制的具体建议措施；提出文化保护和传承方面（包含但不限于非物质文化遗产）的具体建议措施；提出传统村落保护及发展与乡村旅游、文化产业等“乡村振兴”战略融合发展的具体建议措施；提出村落基础设施改善、公共服务提升措施；提出传统建筑在提升建筑安全、居住舒适性等方面的引导措施；提出村落的路网规划、交通组织及管理、停车设施规划、公交车站设置、可能的旅游线路组织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结合全州实际，从该项目的经济、社会、生态、可持续效益等看，项目的实施严格按照州委建设川西北阿坝生态示范区的决定执行，对全州传统村落的保护和利用起到了指导性的作用。</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黑体" w:hAnsi="宋体" w:eastAsia="黑体"/>
          <w:sz w:val="32"/>
          <w:szCs w:val="32"/>
        </w:rPr>
      </w:pPr>
      <w:r>
        <w:rPr>
          <w:rFonts w:hint="eastAsia" w:ascii="黑体" w:hAnsi="宋体" w:eastAsia="黑体"/>
          <w:sz w:val="32"/>
          <w:szCs w:val="32"/>
        </w:rPr>
        <w:t>四、问题及建议</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因2020年新冠疫情原因，项目的前期工作推进受到一定影响，前期工作对接难度较平时增大，导致项目编制时序有所推迟，目前承担方正在按照委托方意见加紧对项目初步规划成果进行完善。</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宋体"/>
          <w:sz w:val="32"/>
          <w:szCs w:val="32"/>
          <w:lang w:val="zh-CN"/>
        </w:rPr>
      </w:pPr>
      <w:r>
        <w:rPr>
          <w:rFonts w:hint="eastAsia" w:ascii="楷体_GB2312" w:hAnsi="宋体" w:eastAsia="楷体_GB2312"/>
          <w:b/>
          <w:sz w:val="32"/>
          <w:szCs w:val="32"/>
          <w:lang w:val="zh-CN"/>
        </w:rPr>
        <w:t>（二）相关建议。</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无</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pStyle w:val="31"/>
        <w:spacing w:line="600" w:lineRule="exact"/>
        <w:ind w:firstLine="883"/>
        <w:jc w:val="center"/>
        <w:rPr>
          <w:rFonts w:hint="eastAsia" w:ascii="仿宋_GB2312" w:hAnsi="宋体" w:eastAsia="方正小标宋简体"/>
          <w:color w:val="auto"/>
          <w:kern w:val="2"/>
          <w:sz w:val="32"/>
          <w:szCs w:val="32"/>
          <w:lang w:val="en-US" w:eastAsia="zh-CN"/>
        </w:rPr>
      </w:pPr>
      <w:r>
        <w:rPr>
          <w:rFonts w:hint="eastAsia" w:ascii="方正小标宋简体" w:hAnsi="宋体" w:eastAsia="方正小标宋简体"/>
          <w:sz w:val="44"/>
          <w:szCs w:val="44"/>
        </w:rPr>
        <w:t>项目支出绩效自评报告</w:t>
      </w:r>
      <w:r>
        <w:rPr>
          <w:rFonts w:hint="eastAsia" w:ascii="方正小标宋简体" w:hAnsi="宋体" w:eastAsia="方正小标宋简体"/>
          <w:sz w:val="44"/>
          <w:szCs w:val="44"/>
          <w:lang w:val="en-US" w:eastAsia="zh-CN"/>
        </w:rPr>
        <w:t>二</w:t>
      </w:r>
    </w:p>
    <w:p>
      <w:pPr>
        <w:spacing w:line="600" w:lineRule="exact"/>
        <w:jc w:val="center"/>
        <w:rPr>
          <w:rFonts w:hint="eastAsia" w:ascii="仿宋_GB2312" w:hAnsi="仿宋_GB2312" w:eastAsia="仿宋_GB2312" w:cs="仿宋_GB2312"/>
          <w:sz w:val="28"/>
          <w:szCs w:val="28"/>
        </w:rPr>
      </w:pPr>
      <w:r>
        <w:rPr>
          <w:rFonts w:hint="eastAsia" w:ascii="仿宋_GB2312" w:hAnsi="宋体"/>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阿坝州房产交易中心系统运行维护及托管项目</w:t>
      </w:r>
      <w:r>
        <w:rPr>
          <w:rFonts w:hint="eastAsia" w:ascii="仿宋_GB2312" w:hAnsi="仿宋_GB2312" w:eastAsia="仿宋_GB2312" w:cs="仿宋_GB2312"/>
          <w:sz w:val="28"/>
          <w:szCs w:val="28"/>
        </w:rPr>
        <w:t>）</w:t>
      </w:r>
    </w:p>
    <w:p>
      <w:pPr>
        <w:pStyle w:val="31"/>
        <w:spacing w:line="600" w:lineRule="exact"/>
        <w:ind w:firstLine="640"/>
        <w:jc w:val="center"/>
        <w:rPr>
          <w:rFonts w:ascii="宋体" w:hAnsi="宋体"/>
          <w:color w:val="auto"/>
          <w:kern w:val="2"/>
          <w:sz w:val="32"/>
          <w:szCs w:val="32"/>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numPr>
          <w:ilvl w:val="0"/>
          <w:numId w:val="0"/>
        </w:numPr>
        <w:adjustRightInd w:val="0"/>
        <w:snapToGrid w:val="0"/>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2019年州房产交易中心系统运行维护及托管项目由三个子项目组成。</w:t>
      </w:r>
    </w:p>
    <w:p>
      <w:pPr>
        <w:numPr>
          <w:ilvl w:val="0"/>
          <w:numId w:val="0"/>
        </w:numPr>
        <w:adjustRightInd w:val="0"/>
        <w:snapToGrid w:val="0"/>
        <w:spacing w:line="600" w:lineRule="exact"/>
        <w:ind w:firstLine="640"/>
        <w:rPr>
          <w:rFonts w:hint="eastAsia" w:ascii="仿宋_GB2312" w:hAnsi="仿宋_GB2312" w:eastAsia="仿宋_GB2312" w:cs="仿宋_GB2312"/>
          <w:sz w:val="32"/>
          <w:szCs w:val="32"/>
          <w:lang w:val="zh-CN" w:eastAsia="zh-CN"/>
        </w:rPr>
      </w:pPr>
      <w:r>
        <w:rPr>
          <w:rFonts w:hint="eastAsia" w:ascii="楷体_GB2312" w:hAnsi="楷体_GB2312" w:eastAsia="楷体_GB2312" w:cs="楷体_GB2312"/>
          <w:b/>
          <w:bCs/>
          <w:sz w:val="32"/>
          <w:szCs w:val="32"/>
          <w:lang w:val="en-US" w:eastAsia="zh-CN"/>
        </w:rPr>
        <w:t>（一）领导干部个人房产信息查核系统光纤租用子项目。</w:t>
      </w:r>
      <w:r>
        <w:rPr>
          <w:rFonts w:hint="eastAsia" w:ascii="仿宋_GB2312" w:hAnsi="仿宋_GB2312" w:eastAsia="仿宋_GB2312" w:cs="仿宋_GB2312"/>
          <w:sz w:val="32"/>
          <w:szCs w:val="32"/>
          <w:lang w:val="zh-CN" w:eastAsia="zh-CN"/>
        </w:rPr>
        <w:t>为落实省委组织部、省住房和城乡建设厅《关于建设领导干部个人有关事项报告房产信息查核系统报送系统的通知》（川建房发〔2015〕387号）和《四川省住房和城乡建设厅关于进一步完善全省领导干部个人事项报告房产信息查核报送系统的通知》（川建房发〔2017〕759）有关规定，因领导干部个人房产信息查核属于涉密工作，不能在互联网上进行信息交换，故需要租用州电信公司光纤专线实现信息交换与畅通。</w:t>
      </w:r>
    </w:p>
    <w:p>
      <w:pPr>
        <w:numPr>
          <w:ilvl w:val="0"/>
          <w:numId w:val="0"/>
        </w:numPr>
        <w:adjustRightInd w:val="0"/>
        <w:snapToGrid w:val="0"/>
        <w:spacing w:line="600" w:lineRule="exact"/>
        <w:ind w:firstLine="643"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（二）领导干部个人房产信息查核系统系统运行维护子项目。</w:t>
      </w:r>
      <w:r>
        <w:rPr>
          <w:rFonts w:hint="eastAsia" w:ascii="仿宋_GB2312" w:hAnsi="仿宋_GB2312" w:eastAsia="仿宋_GB2312" w:cs="仿宋_GB2312"/>
          <w:sz w:val="32"/>
          <w:szCs w:val="32"/>
          <w:lang w:val="en-US" w:eastAsia="zh-CN"/>
        </w:rPr>
        <w:t>2018年查核系统建立运行后，因我局无专业技术人员对系统进行维护管理，需要支付专项运维服务费用确保系统正常运行。</w:t>
      </w:r>
    </w:p>
    <w:p>
      <w:pPr>
        <w:numPr>
          <w:ilvl w:val="0"/>
          <w:numId w:val="0"/>
        </w:numPr>
        <w:adjustRightInd w:val="0"/>
        <w:snapToGrid w:val="0"/>
        <w:spacing w:line="60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（三）州本级房地产市场信息平台服务器托管服务子项目。</w:t>
      </w:r>
    </w:p>
    <w:p>
      <w:pPr>
        <w:numPr>
          <w:ilvl w:val="0"/>
          <w:numId w:val="0"/>
        </w:numPr>
        <w:adjustRightInd w:val="0"/>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因我局未建机房也无维护人员，故将2台服务器委托省住建厅信息中心进行管理。2018年专项向州财政局请示汇报了有关情况。</w:t>
      </w:r>
    </w:p>
    <w:p>
      <w:pPr>
        <w:numPr>
          <w:ilvl w:val="0"/>
          <w:numId w:val="0"/>
        </w:numPr>
        <w:adjustRightInd w:val="0"/>
        <w:snapToGrid w:val="0"/>
        <w:spacing w:line="600" w:lineRule="exact"/>
        <w:ind w:firstLine="640" w:firstLineChars="200"/>
        <w:rPr>
          <w:rFonts w:hint="eastAsia" w:ascii="黑体" w:hAnsi="黑体" w:eastAsia="黑体" w:cs="黑体"/>
          <w:b w:val="0"/>
          <w:bCs/>
          <w:sz w:val="32"/>
          <w:szCs w:val="32"/>
          <w:lang w:val="zh-CN"/>
        </w:rPr>
      </w:pPr>
      <w:r>
        <w:rPr>
          <w:rFonts w:hint="eastAsia" w:ascii="黑体" w:hAnsi="黑体" w:eastAsia="黑体" w:cs="黑体"/>
          <w:b w:val="0"/>
          <w:bCs/>
          <w:sz w:val="32"/>
          <w:szCs w:val="32"/>
          <w:lang w:val="zh-CN"/>
        </w:rPr>
        <w:t>二、资金情况</w:t>
      </w:r>
    </w:p>
    <w:p>
      <w:pPr>
        <w:numPr>
          <w:ilvl w:val="0"/>
          <w:numId w:val="0"/>
        </w:numPr>
        <w:adjustRightInd w:val="0"/>
        <w:snapToGrid w:val="0"/>
        <w:spacing w:line="600" w:lineRule="exact"/>
        <w:ind w:firstLine="643" w:firstLineChars="200"/>
        <w:rPr>
          <w:rFonts w:hint="eastAsia" w:ascii="仿宋_GB2312" w:hAnsi="仿宋_GB2312" w:eastAsia="仿宋_GB2312" w:cs="仿宋_GB2312"/>
          <w:b w:val="0"/>
          <w:bCs/>
          <w:sz w:val="32"/>
          <w:szCs w:val="32"/>
          <w:lang w:val="en-US" w:eastAsia="zh-CN"/>
        </w:rPr>
      </w:pPr>
      <w:r>
        <w:rPr>
          <w:rFonts w:hint="eastAsia" w:ascii="楷体_GB2312" w:hAnsi="宋体" w:eastAsia="楷体_GB2312"/>
          <w:b/>
          <w:sz w:val="32"/>
          <w:szCs w:val="32"/>
          <w:lang w:val="zh-CN"/>
        </w:rPr>
        <w:t>（一）项目资金申报及批复情况。</w:t>
      </w:r>
    </w:p>
    <w:p>
      <w:pPr>
        <w:numPr>
          <w:ilvl w:val="0"/>
          <w:numId w:val="0"/>
        </w:numPr>
        <w:adjustRightInd w:val="0"/>
        <w:snapToGrid w:val="0"/>
        <w:spacing w:line="600" w:lineRule="exact"/>
        <w:ind w:firstLine="964" w:firstLineChars="300"/>
        <w:rPr>
          <w:rFonts w:hint="default" w:ascii="仿宋_GB2312" w:hAnsi="仿宋_GB2312" w:eastAsia="仿宋_GB2312" w:cs="仿宋_GB2312"/>
          <w:sz w:val="32"/>
          <w:szCs w:val="32"/>
          <w:lang w:val="en-US" w:eastAsia="zh-CN"/>
        </w:rPr>
      </w:pPr>
      <w:r>
        <w:rPr>
          <w:rFonts w:hint="eastAsia" w:ascii="楷体_GB2312" w:hAnsi="宋体" w:eastAsia="楷体_GB2312"/>
          <w:b/>
          <w:sz w:val="32"/>
          <w:szCs w:val="32"/>
          <w:lang w:val="en-US" w:eastAsia="zh-CN"/>
        </w:rPr>
        <w:t>1.领导干部个人房产信息查核系统光纤租用费：</w:t>
      </w:r>
      <w:r>
        <w:rPr>
          <w:rFonts w:hint="eastAsia" w:ascii="仿宋_GB2312" w:hAnsi="仿宋_GB2312" w:eastAsia="仿宋_GB2312" w:cs="仿宋_GB2312"/>
          <w:sz w:val="32"/>
          <w:szCs w:val="32"/>
          <w:lang w:val="zh-CN" w:eastAsia="zh-CN"/>
        </w:rPr>
        <w:t>按照我局与州电信公司</w:t>
      </w:r>
      <w:r>
        <w:rPr>
          <w:rFonts w:hint="eastAsia" w:ascii="仿宋_GB2312" w:hAnsi="仿宋_GB2312" w:eastAsia="仿宋_GB2312" w:cs="仿宋_GB2312"/>
          <w:sz w:val="32"/>
          <w:szCs w:val="32"/>
          <w:lang w:val="en-US" w:eastAsia="zh-CN"/>
        </w:rPr>
        <w:t>2018年前历年来</w:t>
      </w:r>
      <w:r>
        <w:rPr>
          <w:rFonts w:hint="eastAsia" w:ascii="仿宋_GB2312" w:hAnsi="仿宋_GB2312" w:eastAsia="仿宋_GB2312" w:cs="仿宋_GB2312"/>
          <w:sz w:val="32"/>
          <w:szCs w:val="32"/>
          <w:lang w:val="zh-CN" w:eastAsia="zh-CN"/>
        </w:rPr>
        <w:t>的合同约定，13个县（市）各一条专线、州委组织部一条专线共</w:t>
      </w:r>
      <w:r>
        <w:rPr>
          <w:rFonts w:hint="eastAsia" w:ascii="仿宋_GB2312" w:hAnsi="仿宋_GB2312" w:eastAsia="仿宋_GB2312" w:cs="仿宋_GB2312"/>
          <w:sz w:val="32"/>
          <w:szCs w:val="32"/>
          <w:lang w:val="en-US" w:eastAsia="zh-CN"/>
        </w:rPr>
        <w:t>14条专线，每条专线每月1000元，每年需支付16.8万元。故2019年申报16.8万元，批复下达16.8万元。</w:t>
      </w:r>
    </w:p>
    <w:p>
      <w:pPr>
        <w:numPr>
          <w:ilvl w:val="0"/>
          <w:numId w:val="0"/>
        </w:numPr>
        <w:adjustRightInd w:val="0"/>
        <w:snapToGrid w:val="0"/>
        <w:spacing w:line="600" w:lineRule="exact"/>
        <w:ind w:firstLine="964" w:firstLineChars="3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val="0"/>
          <w:sz w:val="32"/>
          <w:szCs w:val="32"/>
          <w:lang w:val="en-US" w:eastAsia="zh-CN"/>
        </w:rPr>
        <w:t>2.领导干部个人房产信息查核系统运行维护费：</w:t>
      </w:r>
      <w:r>
        <w:rPr>
          <w:rFonts w:hint="eastAsia" w:ascii="仿宋_GB2312" w:hAnsi="仿宋_GB2312" w:eastAsia="仿宋_GB2312" w:cs="仿宋_GB2312"/>
          <w:sz w:val="32"/>
          <w:szCs w:val="32"/>
          <w:lang w:val="en-US" w:eastAsia="zh-CN"/>
        </w:rPr>
        <w:t>2019年我局与系统开发单位四川亿联公司签订了运维服务合同，确保系统正常运行。申报资金为1万元，批复资金1万元，实际使用资金0.8万元。</w:t>
      </w:r>
    </w:p>
    <w:p>
      <w:pPr>
        <w:numPr>
          <w:ilvl w:val="0"/>
          <w:numId w:val="0"/>
        </w:numPr>
        <w:adjustRightInd w:val="0"/>
        <w:snapToGrid w:val="0"/>
        <w:spacing w:line="600" w:lineRule="exact"/>
        <w:ind w:firstLine="964" w:firstLineChars="3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val="0"/>
          <w:sz w:val="32"/>
          <w:szCs w:val="32"/>
          <w:lang w:val="en-US" w:eastAsia="zh-CN"/>
        </w:rPr>
        <w:t>3.州本级房地产市场信息平台服务器托管服务费：</w:t>
      </w:r>
      <w:r>
        <w:rPr>
          <w:rFonts w:hint="eastAsia" w:ascii="仿宋_GB2312" w:hAnsi="仿宋_GB2312" w:eastAsia="仿宋_GB2312" w:cs="仿宋_GB2312"/>
          <w:sz w:val="32"/>
          <w:szCs w:val="32"/>
          <w:lang w:val="zh-CN" w:eastAsia="zh-CN"/>
        </w:rPr>
        <w:t>在</w:t>
      </w:r>
      <w:r>
        <w:rPr>
          <w:rFonts w:hint="eastAsia" w:ascii="仿宋_GB2312" w:hAnsi="仿宋_GB2312" w:eastAsia="仿宋_GB2312" w:cs="仿宋_GB2312"/>
          <w:sz w:val="32"/>
          <w:szCs w:val="32"/>
          <w:lang w:val="en-US" w:eastAsia="zh-CN"/>
        </w:rPr>
        <w:t>2018年州本级房地产市场信息平台软件升级改造下达的47万元项目经费中列支，预算为3.5万元，2018年与四川省住建厅信息中心实际合同签订费用1.2万元。故2019年申报1.2万元，批复下达1.2万元。</w:t>
      </w:r>
    </w:p>
    <w:p>
      <w:pPr>
        <w:numPr>
          <w:ilvl w:val="0"/>
          <w:numId w:val="0"/>
        </w:numPr>
        <w:adjustRightInd w:val="0"/>
        <w:snapToGrid w:val="0"/>
        <w:spacing w:line="600" w:lineRule="exact"/>
        <w:ind w:firstLine="964" w:firstLineChars="300"/>
        <w:rPr>
          <w:rFonts w:hint="eastAsia"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numPr>
          <w:ilvl w:val="0"/>
          <w:numId w:val="0"/>
        </w:numPr>
        <w:adjustRightInd w:val="0"/>
        <w:snapToGrid w:val="0"/>
        <w:spacing w:line="600" w:lineRule="exact"/>
        <w:ind w:firstLine="960" w:firstLineChars="3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领导干部个人房产信息查核系统光纤租用和系统运维服务两个子项目实施的目标：查核工作更加的安全和规范，提升了查核任务工作效率。</w:t>
      </w:r>
    </w:p>
    <w:p>
      <w:pPr>
        <w:numPr>
          <w:ilvl w:val="0"/>
          <w:numId w:val="0"/>
        </w:numPr>
        <w:adjustRightInd w:val="0"/>
        <w:snapToGrid w:val="0"/>
        <w:spacing w:line="600" w:lineRule="exact"/>
        <w:ind w:firstLine="960" w:firstLineChars="3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州本级房地产市场信息平台服务器托管服务子项目实施的目标：最大限度地节约财政资金的投入，解决我局未建立标准化机房无专业维护技术、涉密信息安全等问题，采取服务器迁移托管模式，实现我州房产交易市场监管信息化，为州县市房地产市场信息平台各系统运行提供有利条件。</w:t>
      </w:r>
    </w:p>
    <w:p>
      <w:pPr>
        <w:numPr>
          <w:ilvl w:val="0"/>
          <w:numId w:val="0"/>
        </w:numPr>
        <w:adjustRightInd w:val="0"/>
        <w:snapToGrid w:val="0"/>
        <w:spacing w:line="600" w:lineRule="exact"/>
        <w:ind w:firstLine="643" w:firstLineChars="200"/>
        <w:rPr>
          <w:rFonts w:hint="eastAsia" w:ascii="仿宋_GB2312" w:hAnsi="仿宋_GB2312" w:eastAsia="仿宋_GB2312" w:cs="仿宋_GB2312"/>
          <w:sz w:val="32"/>
          <w:szCs w:val="32"/>
          <w:lang w:val="zh-CN" w:eastAsia="zh-CN"/>
        </w:rPr>
      </w:pPr>
      <w:r>
        <w:rPr>
          <w:rFonts w:hint="eastAsia" w:ascii="楷体_GB2312" w:hAnsi="宋体" w:eastAsia="楷体_GB2312"/>
          <w:b/>
          <w:sz w:val="32"/>
          <w:szCs w:val="32"/>
          <w:lang w:val="zh-CN"/>
        </w:rPr>
        <w:t>（三）项目资金申报相符性。</w:t>
      </w:r>
      <w:r>
        <w:rPr>
          <w:rFonts w:hint="eastAsia" w:ascii="仿宋_GB2312" w:hAnsi="仿宋_GB2312" w:eastAsia="仿宋_GB2312" w:cs="仿宋_GB2312"/>
          <w:sz w:val="32"/>
          <w:szCs w:val="32"/>
          <w:lang w:val="zh-CN" w:eastAsia="zh-CN"/>
        </w:rPr>
        <w:t>项目申报内容与具体实施内容相符。</w:t>
      </w:r>
    </w:p>
    <w:p>
      <w:pPr>
        <w:numPr>
          <w:ilvl w:val="0"/>
          <w:numId w:val="0"/>
        </w:numPr>
        <w:adjustRightInd w:val="0"/>
        <w:snapToGrid w:val="0"/>
        <w:spacing w:line="600" w:lineRule="exact"/>
        <w:ind w:left="720" w:leftChars="0" w:firstLine="320" w:firstLineChars="100"/>
        <w:rPr>
          <w:rFonts w:ascii="黑体" w:hAnsi="宋体" w:eastAsia="黑体"/>
          <w:sz w:val="32"/>
          <w:szCs w:val="32"/>
        </w:rPr>
      </w:pPr>
      <w:r>
        <w:rPr>
          <w:rFonts w:hint="eastAsia" w:ascii="黑体" w:hAnsi="宋体" w:eastAsia="黑体"/>
          <w:sz w:val="32"/>
          <w:szCs w:val="32"/>
        </w:rPr>
        <w:t>二、项目实施及管理情况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sz w:val="32"/>
          <w:szCs w:val="32"/>
          <w:lang w:val="zh-CN"/>
        </w:rPr>
        <w:tab/>
      </w:r>
      <w:r>
        <w:rPr>
          <w:rFonts w:hint="eastAsia" w:ascii="楷体_GB2312" w:hAnsi="宋体" w:eastAsia="楷体_GB2312"/>
          <w:b/>
          <w:sz w:val="32"/>
          <w:szCs w:val="32"/>
          <w:lang w:val="zh-CN"/>
        </w:rPr>
        <w:t>（一）资金计划、到位及使用情况。</w:t>
      </w:r>
    </w:p>
    <w:p>
      <w:pPr>
        <w:numPr>
          <w:ilvl w:val="0"/>
          <w:numId w:val="0"/>
        </w:numPr>
        <w:adjustRightInd w:val="0"/>
        <w:snapToGrid w:val="0"/>
        <w:spacing w:line="600" w:lineRule="exact"/>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zh-CN" w:eastAsia="zh-CN"/>
        </w:rPr>
        <w:t>1．资金计划及到位</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该项目预算资金为19万元，州财政局通过年初预算下达19万元。</w:t>
      </w:r>
    </w:p>
    <w:p>
      <w:pPr>
        <w:numPr>
          <w:ilvl w:val="0"/>
          <w:numId w:val="0"/>
        </w:numPr>
        <w:adjustRightInd w:val="0"/>
        <w:snapToGrid w:val="0"/>
        <w:spacing w:line="600" w:lineRule="exact"/>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zh-CN" w:eastAsia="zh-CN"/>
        </w:rPr>
        <w:t>2．资金使用。</w:t>
      </w:r>
      <w:r>
        <w:rPr>
          <w:rFonts w:hint="eastAsia" w:ascii="仿宋_GB2312" w:hAnsi="仿宋_GB2312" w:eastAsia="仿宋_GB2312" w:cs="仿宋_GB2312"/>
          <w:sz w:val="32"/>
          <w:szCs w:val="32"/>
          <w:lang w:val="zh-CN" w:eastAsia="zh-CN"/>
        </w:rPr>
        <w:t>三个子项目均为一次性支付，项目实际支出情况，资金开支范围、标准及支付进度等与申报情况一致。</w:t>
      </w:r>
      <w:r>
        <w:rPr>
          <w:rFonts w:hint="eastAsia" w:ascii="仿宋_GB2312" w:hAnsi="仿宋_GB2312" w:eastAsia="仿宋_GB2312" w:cs="仿宋_GB2312"/>
          <w:sz w:val="32"/>
          <w:szCs w:val="32"/>
          <w:lang w:val="en-US" w:eastAsia="zh-CN"/>
        </w:rPr>
        <w:t>截止2019年12月，该项目共计支出18.8万元。</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（二）项目财务管理情况。</w:t>
      </w:r>
    </w:p>
    <w:p>
      <w:pPr>
        <w:numPr>
          <w:ilvl w:val="0"/>
          <w:numId w:val="0"/>
        </w:numPr>
        <w:adjustRightInd w:val="0"/>
        <w:snapToGrid w:val="0"/>
        <w:spacing w:line="600" w:lineRule="exact"/>
        <w:ind w:firstLine="640" w:firstLineChars="2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该项目经费是财政下达的项目资金，我局严格按照州财政局项目资金管理办法通过财政直接支付方式进行管理，资金支付进度和方式严格按照合同进行，</w:t>
      </w:r>
      <w:r>
        <w:rPr>
          <w:rFonts w:hint="eastAsia" w:ascii="仿宋_GB2312" w:hAnsi="仿宋_GB2312" w:eastAsia="仿宋_GB2312" w:cs="仿宋_GB2312"/>
          <w:sz w:val="32"/>
          <w:szCs w:val="32"/>
          <w:lang w:val="zh-CN" w:eastAsia="zh-CN"/>
        </w:rPr>
        <w:t>严格</w:t>
      </w:r>
      <w:r>
        <w:rPr>
          <w:rFonts w:hint="eastAsia" w:ascii="仿宋_GB2312" w:hAnsi="仿宋_GB2312" w:eastAsia="仿宋_GB2312" w:cs="仿宋_GB2312"/>
          <w:sz w:val="32"/>
          <w:szCs w:val="32"/>
          <w:lang w:val="en-US" w:eastAsia="zh-CN"/>
        </w:rPr>
        <w:t>遵守各项财务管理制度。</w:t>
      </w:r>
    </w:p>
    <w:p>
      <w:pPr>
        <w:numPr>
          <w:ilvl w:val="0"/>
          <w:numId w:val="4"/>
        </w:numPr>
        <w:adjustRightInd w:val="0"/>
        <w:snapToGrid w:val="0"/>
        <w:spacing w:line="600" w:lineRule="exact"/>
        <w:ind w:firstLine="720"/>
        <w:rPr>
          <w:rFonts w:hint="eastAsia" w:ascii="仿宋_GB2312" w:hAnsi="仿宋_GB2312" w:eastAsia="仿宋_GB2312" w:cs="仿宋_GB2312"/>
          <w:sz w:val="32"/>
          <w:szCs w:val="32"/>
          <w:lang w:val="zh-CN" w:eastAsia="zh-CN"/>
        </w:rPr>
      </w:pPr>
      <w:r>
        <w:rPr>
          <w:rFonts w:hint="eastAsia" w:ascii="楷体_GB2312" w:hAnsi="宋体" w:eastAsia="楷体_GB2312"/>
          <w:b/>
          <w:sz w:val="32"/>
          <w:szCs w:val="32"/>
          <w:lang w:val="zh-CN"/>
        </w:rPr>
        <w:t>项目组织实施情况。</w:t>
      </w:r>
      <w:r>
        <w:rPr>
          <w:rFonts w:hint="eastAsia" w:ascii="仿宋_GB2312" w:hAnsi="仿宋_GB2312" w:eastAsia="仿宋_GB2312" w:cs="仿宋_GB2312"/>
          <w:sz w:val="32"/>
          <w:szCs w:val="32"/>
          <w:lang w:val="zh-CN" w:eastAsia="zh-CN"/>
        </w:rPr>
        <w:t>三个子项目均签订了合同，严格按照合同约定执行。</w:t>
      </w:r>
    </w:p>
    <w:p>
      <w:pPr>
        <w:numPr>
          <w:ilvl w:val="0"/>
          <w:numId w:val="0"/>
        </w:numPr>
        <w:adjustRightInd w:val="0"/>
        <w:snapToGrid w:val="0"/>
        <w:spacing w:line="600" w:lineRule="exact"/>
        <w:ind w:firstLine="960" w:firstLineChars="300"/>
        <w:rPr>
          <w:rFonts w:ascii="仿宋_GB2312" w:hAnsi="宋体"/>
          <w:sz w:val="32"/>
          <w:szCs w:val="32"/>
          <w:lang w:val="zh-CN"/>
        </w:rPr>
      </w:pPr>
      <w:r>
        <w:rPr>
          <w:rFonts w:hint="eastAsia" w:ascii="黑体" w:hAnsi="宋体" w:eastAsia="黑体"/>
          <w:sz w:val="32"/>
          <w:szCs w:val="32"/>
        </w:rPr>
        <w:t>三、项目绩效情况</w:t>
      </w:r>
      <w:r>
        <w:rPr>
          <w:rFonts w:hint="eastAsia" w:ascii="仿宋_GB2312" w:hAnsi="宋体"/>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hint="default" w:ascii="楷体_GB2312" w:hAnsi="宋体" w:eastAsia="仿宋_GB2312"/>
          <w:b/>
          <w:sz w:val="32"/>
          <w:szCs w:val="32"/>
          <w:lang w:val="en-US" w:eastAsia="zh-CN"/>
        </w:rPr>
      </w:pPr>
      <w:r>
        <w:rPr>
          <w:rFonts w:hint="eastAsia" w:ascii="仿宋_GB2312" w:hAnsi="仿宋_GB2312" w:eastAsia="仿宋_GB2312" w:cs="仿宋_GB2312"/>
          <w:sz w:val="32"/>
          <w:szCs w:val="32"/>
          <w:lang w:val="zh-CN" w:eastAsia="zh-CN"/>
        </w:rPr>
        <w:t>该项目计划与实际完成情况一致。</w:t>
      </w:r>
    </w:p>
    <w:p>
      <w:pPr>
        <w:adjustRightInd w:val="0"/>
        <w:snapToGrid w:val="0"/>
        <w:spacing w:line="600" w:lineRule="exact"/>
        <w:ind w:firstLine="720"/>
        <w:rPr>
          <w:rFonts w:hint="eastAsia" w:ascii="仿宋_GB2312" w:hAnsi="仿宋_GB2312" w:eastAsia="仿宋_GB2312" w:cs="仿宋_GB2312"/>
          <w:sz w:val="32"/>
          <w:szCs w:val="32"/>
          <w:lang w:val="zh-CN" w:eastAsia="zh-CN"/>
        </w:rPr>
      </w:pPr>
      <w:r>
        <w:rPr>
          <w:rFonts w:hint="eastAsia" w:ascii="楷体_GB2312" w:hAnsi="宋体" w:eastAsia="楷体_GB2312"/>
          <w:b/>
          <w:sz w:val="32"/>
          <w:szCs w:val="32"/>
          <w:lang w:val="zh-CN"/>
        </w:rPr>
        <w:t>（二）项目效益情况。</w:t>
      </w:r>
      <w:r>
        <w:rPr>
          <w:rFonts w:hint="eastAsia" w:ascii="仿宋_GB2312" w:hAnsi="仿宋_GB2312" w:eastAsia="仿宋_GB2312" w:cs="仿宋_GB2312"/>
          <w:sz w:val="32"/>
          <w:szCs w:val="32"/>
          <w:lang w:val="zh-CN" w:eastAsia="zh-CN"/>
        </w:rPr>
        <w:t>领导干部个人房产信息查核系统光纤租用和系统运维服务两个子项目的实施，对我局开展领导干部个人房产信息查核工作起到了促进作用，查核工作更加的安全和规范，也提升了查核任务工作效率。州本级房地产市场信息平台服务器托管服务子项目实施，最大限度地节约财政资金的投入，解决我局未建立标准化机房无专业维护技术、涉密信息安全等问题，采取服务器迁移托管模式，实现我州房产交易市场监管信息化，为州县市房地产市场信息平台各系统运行提供有利条件。</w:t>
      </w:r>
    </w:p>
    <w:p>
      <w:pPr>
        <w:adjustRightInd w:val="0"/>
        <w:snapToGrid w:val="0"/>
        <w:spacing w:line="600" w:lineRule="exact"/>
        <w:ind w:firstLine="720"/>
        <w:rPr>
          <w:rFonts w:hint="eastAsia" w:ascii="仿宋_GB2312" w:hAnsi="宋体"/>
          <w:sz w:val="32"/>
          <w:szCs w:val="32"/>
          <w:lang w:val="en-US" w:eastAsia="zh-CN"/>
        </w:rPr>
      </w:pPr>
      <w:r>
        <w:rPr>
          <w:rFonts w:hint="eastAsia" w:ascii="黑体" w:hAnsi="宋体" w:eastAsia="黑体"/>
          <w:sz w:val="32"/>
          <w:szCs w:val="32"/>
        </w:rPr>
        <w:t>四、问题及建议</w:t>
      </w:r>
      <w:r>
        <w:rPr>
          <w:rFonts w:hint="eastAsia" w:ascii="黑体" w:hAnsi="宋体" w:eastAsia="黑体"/>
          <w:sz w:val="32"/>
          <w:szCs w:val="32"/>
          <w:lang w:eastAsia="zh-CN"/>
        </w:rPr>
        <w:t>：</w:t>
      </w:r>
      <w:r>
        <w:rPr>
          <w:rFonts w:hint="eastAsia" w:ascii="仿宋_GB2312" w:hAnsi="宋体"/>
          <w:sz w:val="32"/>
          <w:szCs w:val="32"/>
          <w:lang w:val="en-US" w:eastAsia="zh-CN"/>
        </w:rPr>
        <w:t>无。</w:t>
      </w:r>
    </w:p>
    <w:p>
      <w:pPr>
        <w:adjustRightInd w:val="0"/>
        <w:snapToGrid w:val="0"/>
        <w:spacing w:line="600" w:lineRule="exact"/>
        <w:ind w:firstLine="720"/>
        <w:rPr>
          <w:rFonts w:hint="eastAsia" w:ascii="仿宋_GB2312" w:hAnsi="宋体"/>
          <w:sz w:val="32"/>
          <w:szCs w:val="32"/>
          <w:lang w:val="en-US" w:eastAsia="zh-CN"/>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pStyle w:val="31"/>
        <w:keepNext w:val="0"/>
        <w:keepLines w:val="0"/>
        <w:pageBreakBefore w:val="0"/>
        <w:kinsoku/>
        <w:wordWrap/>
        <w:overflowPunct/>
        <w:topLinePunct w:val="0"/>
        <w:autoSpaceDE/>
        <w:autoSpaceDN/>
        <w:bidi w:val="0"/>
        <w:spacing w:line="560" w:lineRule="exact"/>
        <w:ind w:left="0"/>
        <w:jc w:val="center"/>
        <w:rPr>
          <w:rFonts w:hint="eastAsia" w:ascii="仿宋_GB2312" w:eastAsia="方正小标宋简体"/>
          <w:color w:val="auto"/>
          <w:kern w:val="2"/>
          <w:sz w:val="32"/>
          <w:szCs w:val="32"/>
          <w:lang w:val="en-US" w:eastAsia="zh-CN"/>
        </w:rPr>
      </w:pPr>
      <w:r>
        <w:rPr>
          <w:rFonts w:hint="eastAsia" w:ascii="方正小标宋简体" w:eastAsia="方正小标宋简体"/>
          <w:sz w:val="44"/>
          <w:szCs w:val="44"/>
        </w:rPr>
        <w:t>项目支出绩效自评报告</w:t>
      </w:r>
      <w:r>
        <w:rPr>
          <w:rFonts w:hint="eastAsia" w:ascii="方正小标宋简体" w:eastAsia="方正小标宋简体"/>
          <w:sz w:val="44"/>
          <w:szCs w:val="44"/>
          <w:lang w:val="en-US" w:eastAsia="zh-CN"/>
        </w:rPr>
        <w:t>三</w:t>
      </w:r>
    </w:p>
    <w:p>
      <w:pPr>
        <w:keepNext w:val="0"/>
        <w:keepLines w:val="0"/>
        <w:pageBreakBefore w:val="0"/>
        <w:kinsoku/>
        <w:wordWrap/>
        <w:overflowPunct/>
        <w:topLinePunct w:val="0"/>
        <w:autoSpaceDE/>
        <w:autoSpaceDN/>
        <w:bidi w:val="0"/>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（阿坝州工程建设项目审批管理系统）</w:t>
      </w:r>
    </w:p>
    <w:p>
      <w:pPr>
        <w:pStyle w:val="31"/>
        <w:keepNext w:val="0"/>
        <w:keepLines w:val="0"/>
        <w:pageBreakBefore w:val="0"/>
        <w:kinsoku/>
        <w:wordWrap/>
        <w:overflowPunct/>
        <w:topLinePunct w:val="0"/>
        <w:autoSpaceDE/>
        <w:autoSpaceDN/>
        <w:bidi w:val="0"/>
        <w:spacing w:line="560" w:lineRule="exact"/>
        <w:ind w:firstLine="640"/>
        <w:jc w:val="center"/>
        <w:rPr>
          <w:rFonts w:ascii="宋体"/>
          <w:color w:val="auto"/>
          <w:kern w:val="2"/>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720"/>
        <w:rPr>
          <w:rFonts w:ascii="黑体" w:eastAsia="黑体"/>
          <w:sz w:val="32"/>
          <w:szCs w:val="32"/>
          <w:lang w:val="zh-CN"/>
        </w:rPr>
      </w:pPr>
      <w:r>
        <w:rPr>
          <w:rFonts w:hint="eastAsia" w:ascii="黑体" w:eastAsia="黑体"/>
          <w:sz w:val="32"/>
          <w:szCs w:val="32"/>
        </w:rPr>
        <w:t>一、</w:t>
      </w:r>
      <w:r>
        <w:rPr>
          <w:rFonts w:hint="eastAsia" w:ascii="黑体" w:eastAsia="黑体"/>
          <w:sz w:val="32"/>
          <w:szCs w:val="32"/>
          <w:lang w:val="zh-CN"/>
        </w:rPr>
        <w:t>项目概况</w:t>
      </w:r>
    </w:p>
    <w:p>
      <w:pPr>
        <w:keepNext w:val="0"/>
        <w:keepLines w:val="0"/>
        <w:pageBreakBefore w:val="0"/>
        <w:kinsoku/>
        <w:wordWrap/>
        <w:overflowPunct/>
        <w:topLinePunct w:val="0"/>
        <w:autoSpaceDE/>
        <w:autoSpaceDN/>
        <w:bidi w:val="0"/>
        <w:adjustRightInd w:val="0"/>
        <w:snapToGrid w:val="0"/>
        <w:spacing w:line="560" w:lineRule="exact"/>
        <w:ind w:firstLine="720"/>
        <w:rPr>
          <w:rFonts w:ascii="仿宋_GB2312"/>
          <w:sz w:val="32"/>
          <w:szCs w:val="32"/>
          <w:lang w:val="zh-CN"/>
        </w:rPr>
      </w:pPr>
      <w:r>
        <w:rPr>
          <w:rFonts w:hint="eastAsia" w:ascii="楷体_GB2312" w:eastAsia="楷体_GB2312"/>
          <w:b/>
          <w:sz w:val="32"/>
          <w:szCs w:val="32"/>
          <w:lang w:val="zh-CN"/>
        </w:rPr>
        <w:t>（一）项目资金申报及批复情况。</w:t>
      </w:r>
    </w:p>
    <w:p>
      <w:pPr>
        <w:keepNext w:val="0"/>
        <w:keepLines w:val="0"/>
        <w:pageBreakBefore w:val="0"/>
        <w:kinsoku/>
        <w:wordWrap/>
        <w:overflowPunct/>
        <w:topLinePunct w:val="0"/>
        <w:autoSpaceDE/>
        <w:autoSpaceDN/>
        <w:bidi w:val="0"/>
        <w:adjustRightInd w:val="0"/>
        <w:snapToGrid w:val="0"/>
        <w:spacing w:line="560" w:lineRule="exact"/>
        <w:ind w:firstLine="720"/>
        <w:rPr>
          <w:rFonts w:hint="default" w:ascii="仿宋_GB2312" w:eastAsia="仿宋_GB2312"/>
          <w:color w:val="000000"/>
          <w:sz w:val="32"/>
          <w:szCs w:val="32"/>
          <w:lang w:val="en-US" w:eastAsia="zh-CN"/>
        </w:rPr>
      </w:pPr>
      <w:r>
        <w:rPr>
          <w:rFonts w:hint="eastAsia" w:ascii="仿宋_GB2312" w:hAnsi="仿宋_GB2312" w:eastAsia="仿宋_GB2312" w:cs="仿宋_GB2312"/>
          <w:sz w:val="32"/>
          <w:szCs w:val="32"/>
          <w:lang w:val="zh-CN"/>
        </w:rPr>
        <w:t>为深入贯彻《国务院办公厅关于全面开展工程建设项目审批制度改革的实施意见》（国办发〔2019〕11号）文件要求，2019年5月30日，我局拟建设阿坝州工程建设项目审批管理平台，经测算所需经费为180万元。由于工程建设项目审批制度改革工作是在2019年3月安排部署，该项目未纳入2019年财政预算，</w:t>
      </w:r>
      <w:r>
        <w:rPr>
          <w:rFonts w:hint="eastAsia" w:ascii="仿宋_GB2312" w:hAnsi="仿宋_GB2312" w:eastAsia="仿宋_GB2312" w:cs="仿宋_GB2312"/>
          <w:sz w:val="32"/>
          <w:szCs w:val="32"/>
          <w:lang w:val="en-US" w:eastAsia="zh-CN"/>
        </w:rPr>
        <w:t>特</w:t>
      </w:r>
      <w:r>
        <w:rPr>
          <w:rFonts w:hint="eastAsia" w:ascii="仿宋_GB2312" w:hAnsi="仿宋_GB2312" w:eastAsia="仿宋_GB2312" w:cs="仿宋_GB2312"/>
          <w:sz w:val="32"/>
          <w:szCs w:val="32"/>
          <w:lang w:val="zh-CN"/>
        </w:rPr>
        <w:t>请州级财政给予</w:t>
      </w:r>
      <w:r>
        <w:rPr>
          <w:rFonts w:hint="eastAsia" w:ascii="仿宋_GB2312" w:hAnsi="仿宋_GB2312" w:eastAsia="仿宋_GB2312" w:cs="仿宋_GB2312"/>
          <w:sz w:val="32"/>
          <w:szCs w:val="32"/>
          <w:lang w:val="en-US" w:eastAsia="zh-CN"/>
        </w:rPr>
        <w:t>追加预算</w:t>
      </w:r>
      <w:r>
        <w:rPr>
          <w:rFonts w:hint="eastAsia" w:ascii="仿宋_GB2312" w:hAnsi="仿宋_GB2312" w:eastAsia="仿宋_GB2312" w:cs="仿宋_GB2312"/>
          <w:sz w:val="32"/>
          <w:szCs w:val="32"/>
          <w:lang w:val="zh-CN"/>
        </w:rPr>
        <w:t>解决。</w:t>
      </w:r>
      <w:r>
        <w:rPr>
          <w:rFonts w:hint="eastAsia" w:ascii="仿宋_GB2312" w:hAnsi="仿宋_GB2312" w:eastAsia="仿宋_GB2312" w:cs="仿宋_GB2312"/>
          <w:sz w:val="32"/>
          <w:szCs w:val="32"/>
          <w:lang w:val="en-US" w:eastAsia="zh-CN"/>
        </w:rPr>
        <w:t>2019年7月2日，州财政局通过大平台下达</w:t>
      </w:r>
      <w:r>
        <w:rPr>
          <w:rFonts w:hint="eastAsia" w:ascii="仿宋_GB2312" w:hAnsi="仿宋_GB2312" w:eastAsia="仿宋_GB2312" w:cs="仿宋_GB2312"/>
          <w:sz w:val="32"/>
          <w:szCs w:val="32"/>
          <w:lang w:val="zh-CN"/>
        </w:rPr>
        <w:t>阿坝州工程建设项目审批管理平台</w:t>
      </w:r>
      <w:r>
        <w:rPr>
          <w:rFonts w:hint="eastAsia" w:ascii="仿宋_GB2312" w:hAnsi="仿宋_GB2312" w:eastAsia="仿宋_GB2312" w:cs="仿宋_GB2312"/>
          <w:sz w:val="32"/>
          <w:szCs w:val="32"/>
          <w:lang w:val="en-US" w:eastAsia="zh-CN"/>
        </w:rPr>
        <w:t>建设经费180万元。</w:t>
      </w:r>
      <w:r>
        <w:rPr>
          <w:rFonts w:hint="eastAsia" w:ascii="仿宋_GB2312" w:hAnsi="仿宋_GB2312" w:eastAsia="仿宋_GB2312" w:cs="仿宋_GB2312"/>
          <w:color w:val="000000"/>
          <w:sz w:val="32"/>
          <w:szCs w:val="32"/>
          <w:lang w:val="zh-CN"/>
        </w:rPr>
        <w:t>2019年6月4日省级印发了《四川工程建设项目审批管理系统建设指南2.0》子模块数量由10个增加至38个，2019年7月4日，我局向州人民政府申请追加490万元系统建设经费。</w:t>
      </w:r>
      <w:r>
        <w:rPr>
          <w:rFonts w:hint="eastAsia" w:ascii="仿宋_GB2312" w:hAnsi="仿宋_GB2312" w:eastAsia="仿宋_GB2312" w:cs="仿宋_GB2312"/>
          <w:color w:val="000000"/>
          <w:sz w:val="32"/>
          <w:szCs w:val="32"/>
          <w:lang w:val="en-US" w:eastAsia="zh-CN"/>
        </w:rPr>
        <w:t>2019年9月23日，该项目经财评，预算控制价为606.5万元，2019年10月28日，经政府采购中标价格为590.8万元，剩余410.8万元项目资金已通过2020年年初预算下达。</w:t>
      </w:r>
    </w:p>
    <w:p>
      <w:pPr>
        <w:keepNext w:val="0"/>
        <w:keepLines w:val="0"/>
        <w:pageBreakBefore w:val="0"/>
        <w:kinsoku/>
        <w:wordWrap/>
        <w:overflowPunct/>
        <w:topLinePunct w:val="0"/>
        <w:autoSpaceDE/>
        <w:autoSpaceDN/>
        <w:bidi w:val="0"/>
        <w:adjustRightInd w:val="0"/>
        <w:snapToGrid w:val="0"/>
        <w:spacing w:line="560" w:lineRule="exact"/>
        <w:ind w:firstLine="720"/>
        <w:rPr>
          <w:rFonts w:ascii="仿宋_GB2312"/>
          <w:color w:val="FF0000"/>
          <w:sz w:val="32"/>
          <w:szCs w:val="32"/>
          <w:lang w:val="zh-CN"/>
        </w:rPr>
      </w:pPr>
      <w:r>
        <w:rPr>
          <w:rFonts w:hint="eastAsia" w:ascii="楷体_GB2312" w:eastAsia="楷体_GB2312"/>
          <w:b/>
          <w:color w:val="000000"/>
          <w:sz w:val="32"/>
          <w:szCs w:val="32"/>
          <w:lang w:val="zh-CN"/>
        </w:rPr>
        <w:t>（二）项目绩效目标。</w:t>
      </w:r>
      <w:r>
        <w:rPr>
          <w:rFonts w:ascii="仿宋_GB2312" w:eastAsia="仿宋_GB2312"/>
          <w:color w:val="000000"/>
          <w:sz w:val="32"/>
          <w:szCs w:val="32"/>
        </w:rPr>
        <w:t>2019年8月我局将《阿坝州工程建设项目审批管理系统建设方案》报送阿坝州大数据中心，2019年8月27日阿坝州大数据中心出具《关于阿坝州工程建设项目审批管理系统建设方案的预审报告》。建议：1.建议同意州住建局的《阿坝州工程建设项目审批管理系</w:t>
      </w:r>
      <w:r>
        <w:rPr>
          <w:rFonts w:ascii="仿宋_GB2312" w:eastAsia="仿宋_GB2312"/>
          <w:sz w:val="32"/>
          <w:szCs w:val="32"/>
        </w:rPr>
        <w:t>统建设方案》。2.《阿坝州工程建设项目审批管理系统建设方案》涉及的项目费用概算，建议请州财政局财评后提出意见。</w:t>
      </w:r>
    </w:p>
    <w:p>
      <w:pPr>
        <w:keepNext w:val="0"/>
        <w:keepLines w:val="0"/>
        <w:pageBreakBefore w:val="0"/>
        <w:kinsoku/>
        <w:wordWrap/>
        <w:overflowPunct/>
        <w:topLinePunct w:val="0"/>
        <w:autoSpaceDE/>
        <w:autoSpaceDN/>
        <w:bidi w:val="0"/>
        <w:adjustRightInd w:val="0"/>
        <w:snapToGrid w:val="0"/>
        <w:spacing w:line="560" w:lineRule="exact"/>
        <w:ind w:firstLine="720"/>
        <w:rPr>
          <w:rFonts w:ascii="仿宋_GB2312"/>
          <w:color w:val="FF0000"/>
          <w:sz w:val="32"/>
          <w:szCs w:val="32"/>
          <w:lang w:val="zh-CN"/>
        </w:rPr>
      </w:pPr>
      <w:r>
        <w:rPr>
          <w:rFonts w:hint="eastAsia" w:ascii="楷体_GB2312" w:eastAsia="楷体_GB2312"/>
          <w:b/>
          <w:color w:val="000000"/>
          <w:sz w:val="32"/>
          <w:szCs w:val="32"/>
          <w:lang w:val="zh-CN"/>
        </w:rPr>
        <w:t>（三）项目资金申报相符性。</w:t>
      </w:r>
      <w:r>
        <w:rPr>
          <w:rFonts w:ascii="仿宋_GB2312" w:eastAsia="仿宋_GB2312"/>
          <w:color w:val="000000"/>
          <w:sz w:val="32"/>
          <w:szCs w:val="32"/>
        </w:rPr>
        <w:t>2019年8月28日范继跃常务副州长在《阿坝州大数据中心关于阿坝州工程建设项目审批管理系统建设方案的预审报告》上批示：</w:t>
      </w:r>
      <w:r>
        <w:rPr>
          <w:rFonts w:hint="eastAsia" w:ascii="仿宋_GB2312" w:eastAsia="仿宋_GB2312"/>
          <w:color w:val="000000"/>
          <w:sz w:val="32"/>
          <w:szCs w:val="32"/>
        </w:rPr>
        <w:t>“</w:t>
      </w:r>
      <w:r>
        <w:rPr>
          <w:rFonts w:ascii="仿宋_GB2312" w:eastAsia="仿宋_GB2312"/>
          <w:sz w:val="32"/>
          <w:szCs w:val="32"/>
        </w:rPr>
        <w:t>同意按程序请州财政局评审。</w:t>
      </w:r>
      <w:r>
        <w:rPr>
          <w:rFonts w:hint="eastAsia" w:ascii="仿宋_GB2312" w:eastAsia="仿宋_GB2312"/>
          <w:sz w:val="32"/>
          <w:szCs w:val="32"/>
        </w:rPr>
        <w:t>”。201</w:t>
      </w:r>
      <w:r>
        <w:rPr>
          <w:rFonts w:ascii="仿宋_GB2312" w:eastAsia="仿宋_GB2312"/>
          <w:sz w:val="32"/>
          <w:szCs w:val="32"/>
        </w:rPr>
        <w:t>9</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30</w:t>
      </w:r>
      <w:r>
        <w:rPr>
          <w:rFonts w:hint="eastAsia" w:ascii="仿宋_GB2312" w:eastAsia="仿宋_GB2312"/>
          <w:sz w:val="32"/>
          <w:szCs w:val="32"/>
        </w:rPr>
        <w:t>日</w:t>
      </w:r>
      <w:r>
        <w:rPr>
          <w:rFonts w:ascii="仿宋_GB2312" w:eastAsia="仿宋_GB2312"/>
          <w:sz w:val="32"/>
          <w:szCs w:val="32"/>
        </w:rPr>
        <w:t>，我局向州财政局申请《阿坝州住房和城乡建设局关于评审阿坝州工程建设项目审批管理系统建设方案的请示》，2019年9月23日州财评中心印发《关于阿坝州工程建设项目审批管理系统建设项目预算控制价的评审报告》（阿州财评审〔2019〕189号），财政评审预算控制价为606.5万元。</w:t>
      </w:r>
    </w:p>
    <w:p>
      <w:pPr>
        <w:keepNext w:val="0"/>
        <w:keepLines w:val="0"/>
        <w:pageBreakBefore w:val="0"/>
        <w:kinsoku/>
        <w:wordWrap/>
        <w:overflowPunct/>
        <w:topLinePunct w:val="0"/>
        <w:autoSpaceDE/>
        <w:autoSpaceDN/>
        <w:bidi w:val="0"/>
        <w:adjustRightInd w:val="0"/>
        <w:snapToGrid w:val="0"/>
        <w:spacing w:line="560" w:lineRule="exact"/>
        <w:ind w:firstLine="720"/>
        <w:rPr>
          <w:rFonts w:ascii="黑体" w:eastAsia="黑体"/>
          <w:color w:val="000000"/>
          <w:sz w:val="32"/>
          <w:szCs w:val="32"/>
        </w:rPr>
      </w:pPr>
      <w:r>
        <w:rPr>
          <w:rFonts w:hint="eastAsia" w:ascii="黑体" w:eastAsia="黑体"/>
          <w:color w:val="000000"/>
          <w:sz w:val="32"/>
          <w:szCs w:val="32"/>
        </w:rPr>
        <w:t>二、项目实施及管理情况</w:t>
      </w:r>
    </w:p>
    <w:p>
      <w:pPr>
        <w:keepNext w:val="0"/>
        <w:keepLines w:val="0"/>
        <w:pageBreakBefore w:val="0"/>
        <w:kinsoku/>
        <w:wordWrap/>
        <w:overflowPunct/>
        <w:topLinePunct w:val="0"/>
        <w:autoSpaceDE/>
        <w:autoSpaceDN/>
        <w:bidi w:val="0"/>
        <w:adjustRightInd w:val="0"/>
        <w:snapToGrid w:val="0"/>
        <w:spacing w:line="560" w:lineRule="exact"/>
        <w:ind w:firstLine="720"/>
        <w:rPr>
          <w:rFonts w:ascii="楷体_GB2312" w:eastAsia="楷体_GB2312"/>
          <w:b/>
          <w:color w:val="000000"/>
          <w:sz w:val="32"/>
          <w:szCs w:val="32"/>
          <w:lang w:val="zh-CN"/>
        </w:rPr>
      </w:pPr>
      <w:r>
        <w:rPr>
          <w:rFonts w:hint="eastAsia" w:ascii="仿宋_GB2312"/>
          <w:color w:val="000000"/>
          <w:sz w:val="32"/>
          <w:szCs w:val="32"/>
          <w:lang w:val="zh-CN"/>
        </w:rPr>
        <w:tab/>
      </w:r>
      <w:r>
        <w:rPr>
          <w:rFonts w:hint="eastAsia" w:ascii="楷体_GB2312" w:eastAsia="楷体_GB2312"/>
          <w:b/>
          <w:color w:val="000000"/>
          <w:sz w:val="32"/>
          <w:szCs w:val="32"/>
          <w:lang w:val="zh-CN"/>
        </w:rPr>
        <w:t>（一）资金计划、到位及使用情况。</w:t>
      </w:r>
    </w:p>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zh-CN"/>
        </w:rPr>
        <w:t>1．资金计划及到位</w:t>
      </w:r>
      <w:r>
        <w:rPr>
          <w:rFonts w:hint="eastAsia" w:ascii="仿宋_GB2312" w:hAnsi="仿宋_GB2312" w:cs="仿宋_GB2312"/>
          <w:b/>
          <w:bCs/>
          <w:color w:val="000000"/>
          <w:sz w:val="32"/>
          <w:szCs w:val="32"/>
          <w:lang w:val="en-US" w:eastAsia="zh-CN"/>
        </w:rPr>
        <w:t>情况</w:t>
      </w:r>
      <w:r>
        <w:rPr>
          <w:rFonts w:hint="eastAsia" w:ascii="仿宋_GB2312" w:hAnsi="仿宋_GB2312" w:eastAsia="仿宋_GB2312" w:cs="仿宋_GB2312"/>
          <w:b/>
          <w:bCs/>
          <w:color w:val="000000"/>
          <w:sz w:val="32"/>
          <w:szCs w:val="32"/>
          <w:lang w:val="zh-CN"/>
        </w:rPr>
        <w:t>。</w:t>
      </w:r>
      <w:r>
        <w:rPr>
          <w:rFonts w:hint="eastAsia" w:ascii="仿宋_GB2312" w:hAnsi="仿宋_GB2312" w:eastAsia="仿宋_GB2312" w:cs="仿宋_GB2312"/>
          <w:color w:val="000000"/>
          <w:sz w:val="32"/>
          <w:szCs w:val="32"/>
          <w:lang w:val="en-US" w:eastAsia="zh-CN"/>
        </w:rPr>
        <w:t>该项目资金总计划670万元，财评控制价为606.5万元，政府采购中标价为590.8万元。项目经费分别于2019年7月2日下达180万元、2020年通过年初预算下达410.8万元。2019年12月2日，我局通过财政直接支付方式按照合同要求支付预付款（总价款的30%）177.24万元。2020年6月23日，我局通过财政直接支付的方式按照合同要求支付</w:t>
      </w:r>
      <w:r>
        <w:rPr>
          <w:rFonts w:hint="eastAsia" w:ascii="仿宋_GB2312" w:hAnsi="仿宋_GB2312" w:eastAsia="仿宋_GB2312" w:cs="仿宋_GB2312"/>
          <w:sz w:val="32"/>
          <w:szCs w:val="32"/>
        </w:rPr>
        <w:t>阿坝州工程建设项目审批管理系统</w:t>
      </w:r>
      <w:r>
        <w:rPr>
          <w:rFonts w:hint="eastAsia" w:ascii="仿宋_GB2312" w:hAnsi="仿宋_GB2312" w:eastAsia="仿宋_GB2312" w:cs="仿宋_GB2312"/>
          <w:sz w:val="32"/>
          <w:szCs w:val="32"/>
          <w:lang w:val="en-US" w:eastAsia="zh-CN"/>
        </w:rPr>
        <w:t>上线款</w:t>
      </w:r>
      <w:r>
        <w:rPr>
          <w:rFonts w:hint="eastAsia" w:ascii="仿宋_GB2312" w:hAnsi="仿宋_GB2312" w:eastAsia="仿宋_GB2312" w:cs="仿宋_GB2312"/>
          <w:color w:val="000000"/>
          <w:sz w:val="32"/>
          <w:szCs w:val="32"/>
          <w:lang w:val="en-US" w:eastAsia="zh-CN"/>
        </w:rPr>
        <w:t>（总价款的30%）</w:t>
      </w:r>
      <w:r>
        <w:rPr>
          <w:rFonts w:hint="eastAsia" w:ascii="仿宋_GB2312" w:hAnsi="仿宋_GB2312" w:eastAsia="仿宋_GB2312" w:cs="仿宋_GB2312"/>
          <w:sz w:val="32"/>
          <w:szCs w:val="32"/>
          <w:lang w:val="en-US" w:eastAsia="zh-CN"/>
        </w:rPr>
        <w:t>177.24万元。截止2020年9月17日，该项目共计支出354.48万元，完成项目预算资金的60%。</w:t>
      </w:r>
    </w:p>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bCs/>
          <w:color w:val="000000"/>
          <w:sz w:val="32"/>
          <w:szCs w:val="32"/>
          <w:lang w:val="zh-CN"/>
        </w:rPr>
        <w:t>2．资金使用</w:t>
      </w:r>
      <w:r>
        <w:rPr>
          <w:rFonts w:hint="eastAsia" w:ascii="仿宋_GB2312" w:hAnsi="仿宋_GB2312" w:cs="仿宋_GB2312"/>
          <w:b/>
          <w:bCs/>
          <w:color w:val="000000"/>
          <w:sz w:val="32"/>
          <w:szCs w:val="32"/>
          <w:lang w:val="en-US" w:eastAsia="zh-CN"/>
        </w:rPr>
        <w:t>情况</w:t>
      </w:r>
      <w:r>
        <w:rPr>
          <w:rFonts w:hint="eastAsia" w:ascii="仿宋_GB2312" w:hAnsi="仿宋_GB2312" w:eastAsia="仿宋_GB2312" w:cs="仿宋_GB2312"/>
          <w:b/>
          <w:bCs/>
          <w:color w:val="000000"/>
          <w:sz w:val="32"/>
          <w:szCs w:val="32"/>
          <w:lang w:val="zh-CN"/>
        </w:rPr>
        <w:t>。</w:t>
      </w:r>
      <w:r>
        <w:rPr>
          <w:rFonts w:hint="eastAsia" w:ascii="仿宋_GB2312" w:hAnsi="仿宋_GB2312" w:eastAsia="仿宋_GB2312" w:cs="仿宋_GB2312"/>
          <w:color w:val="000000"/>
          <w:sz w:val="32"/>
          <w:szCs w:val="32"/>
          <w:lang w:val="en-US" w:eastAsia="zh-CN"/>
        </w:rPr>
        <w:t>2019年12月2日，我局通过财政直接支付方式按照合同要求支付预付款（总价款的30%）177.24万元。2020年6月23日，我局通过财政直接支付的方式按照合同要求支付</w:t>
      </w:r>
      <w:r>
        <w:rPr>
          <w:rFonts w:hint="eastAsia" w:ascii="仿宋_GB2312" w:hAnsi="仿宋_GB2312" w:eastAsia="仿宋_GB2312" w:cs="仿宋_GB2312"/>
          <w:sz w:val="32"/>
          <w:szCs w:val="32"/>
        </w:rPr>
        <w:t>阿坝州工程建设项目审批管理系统</w:t>
      </w:r>
      <w:r>
        <w:rPr>
          <w:rFonts w:hint="eastAsia" w:ascii="仿宋_GB2312" w:hAnsi="仿宋_GB2312" w:eastAsia="仿宋_GB2312" w:cs="仿宋_GB2312"/>
          <w:sz w:val="32"/>
          <w:szCs w:val="32"/>
          <w:lang w:val="en-US" w:eastAsia="zh-CN"/>
        </w:rPr>
        <w:t>上线款</w:t>
      </w:r>
      <w:r>
        <w:rPr>
          <w:rFonts w:hint="eastAsia" w:ascii="仿宋_GB2312" w:hAnsi="仿宋_GB2312" w:eastAsia="仿宋_GB2312" w:cs="仿宋_GB2312"/>
          <w:color w:val="000000"/>
          <w:sz w:val="32"/>
          <w:szCs w:val="32"/>
          <w:lang w:val="en-US" w:eastAsia="zh-CN"/>
        </w:rPr>
        <w:t>（总价款的30%）</w:t>
      </w:r>
      <w:r>
        <w:rPr>
          <w:rFonts w:hint="eastAsia" w:ascii="仿宋_GB2312" w:hAnsi="仿宋_GB2312" w:eastAsia="仿宋_GB2312" w:cs="仿宋_GB2312"/>
          <w:sz w:val="32"/>
          <w:szCs w:val="32"/>
          <w:lang w:val="en-US" w:eastAsia="zh-CN"/>
        </w:rPr>
        <w:t>177.24万元。截止2020年9月17日，该项目共计支出354.48万元，完成项目预算资金的60%。</w:t>
      </w:r>
    </w:p>
    <w:p>
      <w:pPr>
        <w:keepNext w:val="0"/>
        <w:keepLines w:val="0"/>
        <w:pageBreakBefore w:val="0"/>
        <w:kinsoku/>
        <w:wordWrap/>
        <w:overflowPunct/>
        <w:topLinePunct w:val="0"/>
        <w:autoSpaceDE/>
        <w:autoSpaceDN/>
        <w:bidi w:val="0"/>
        <w:adjustRightInd w:val="0"/>
        <w:snapToGrid w:val="0"/>
        <w:spacing w:line="560" w:lineRule="exact"/>
        <w:ind w:firstLine="720"/>
        <w:rPr>
          <w:rFonts w:ascii="楷体_GB2312" w:eastAsia="楷体_GB2312"/>
          <w:b/>
          <w:color w:val="auto"/>
          <w:sz w:val="32"/>
          <w:szCs w:val="32"/>
          <w:lang w:val="zh-CN"/>
        </w:rPr>
      </w:pPr>
      <w:r>
        <w:rPr>
          <w:rFonts w:hint="eastAsia" w:ascii="楷体_GB2312" w:eastAsia="楷体_GB2312"/>
          <w:b/>
          <w:color w:val="auto"/>
          <w:sz w:val="32"/>
          <w:szCs w:val="32"/>
          <w:lang w:val="zh-CN"/>
        </w:rPr>
        <w:t>（二）项目财务管理情况。</w:t>
      </w:r>
    </w:p>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阿坝州工程建设项目审批管理系统</w:t>
      </w:r>
      <w:r>
        <w:rPr>
          <w:rFonts w:hint="eastAsia" w:ascii="仿宋_GB2312" w:hAnsi="仿宋_GB2312" w:eastAsia="仿宋_GB2312" w:cs="仿宋_GB2312"/>
          <w:sz w:val="32"/>
          <w:szCs w:val="32"/>
          <w:lang w:val="en-US" w:eastAsia="zh-CN"/>
        </w:rPr>
        <w:t>经费是财政下达的项目资金，我局严格按照州财政局项目资金管理办法通过财政直接支付方式进行管理，资金支付进度和方式严格按照合同进行，</w:t>
      </w:r>
      <w:r>
        <w:rPr>
          <w:rFonts w:hint="eastAsia" w:ascii="仿宋_GB2312" w:hAnsi="仿宋_GB2312" w:eastAsia="仿宋_GB2312" w:cs="仿宋_GB2312"/>
          <w:sz w:val="32"/>
          <w:szCs w:val="32"/>
          <w:lang w:val="zh-CN"/>
        </w:rPr>
        <w:t>严格</w:t>
      </w:r>
      <w:r>
        <w:rPr>
          <w:rFonts w:hint="eastAsia" w:ascii="仿宋_GB2312" w:hAnsi="仿宋_GB2312" w:eastAsia="仿宋_GB2312" w:cs="仿宋_GB2312"/>
          <w:sz w:val="32"/>
          <w:szCs w:val="32"/>
          <w:lang w:val="en-US" w:eastAsia="zh-CN"/>
        </w:rPr>
        <w:t>遵守各项财务管理制度，</w:t>
      </w:r>
      <w:r>
        <w:rPr>
          <w:rFonts w:hint="eastAsia" w:ascii="仿宋_GB2312" w:hAnsi="仿宋_GB2312" w:eastAsia="仿宋_GB2312" w:cs="仿宋_GB2312"/>
          <w:sz w:val="32"/>
          <w:szCs w:val="32"/>
          <w:lang w:val="zh-CN"/>
        </w:rPr>
        <w:t>及时进行了财务处理、会计核算规范。</w:t>
      </w:r>
    </w:p>
    <w:p>
      <w:pPr>
        <w:keepNext w:val="0"/>
        <w:keepLines w:val="0"/>
        <w:pageBreakBefore w:val="0"/>
        <w:kinsoku/>
        <w:wordWrap/>
        <w:overflowPunct/>
        <w:topLinePunct w:val="0"/>
        <w:autoSpaceDE/>
        <w:autoSpaceDN/>
        <w:bidi w:val="0"/>
        <w:adjustRightInd w:val="0"/>
        <w:snapToGrid w:val="0"/>
        <w:spacing w:line="560" w:lineRule="exact"/>
        <w:ind w:firstLine="720"/>
        <w:rPr>
          <w:rFonts w:ascii="楷体_GB2312" w:eastAsia="楷体_GB2312"/>
          <w:b/>
          <w:color w:val="000000"/>
          <w:sz w:val="32"/>
          <w:szCs w:val="32"/>
          <w:lang w:val="zh-CN"/>
        </w:rPr>
      </w:pPr>
      <w:r>
        <w:rPr>
          <w:rFonts w:hint="eastAsia" w:ascii="楷体_GB2312" w:eastAsia="楷体_GB2312"/>
          <w:b/>
          <w:color w:val="000000"/>
          <w:sz w:val="32"/>
          <w:szCs w:val="32"/>
          <w:lang w:val="zh-CN"/>
        </w:rPr>
        <w:t>（三）项目组织实施情况。</w:t>
      </w:r>
    </w:p>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2019年10月09日在四川政府采购网发布《阿坝藏族羌族自治州住房和城乡建设局阿坝州工程建设项目审批管理平台建设采购项目需求论证公示》，并经专家评审通过。2019年10月16日，《阿坝州财政局关于对州住建局阿坝州工程建设项目审批管理平台建设项目采购方式的批复》（阿州财采〔2019〕91号）项目总投资606.5万元。2019年10月17日在四川政府采购网发布《四川省阿坝藏族羌族自治州州本级阿坝藏族羌族自治州住房和城乡建设局阿坝州工程建设项目审批管理平台建设采购项目竞争性磋商采购公告》，2019年10月28日开标，经评审，江苏国泰新点软件有限公司中标，中标价为590.8万元。</w:t>
      </w:r>
    </w:p>
    <w:p>
      <w:pPr>
        <w:keepNext w:val="0"/>
        <w:keepLines w:val="0"/>
        <w:pageBreakBefore w:val="0"/>
        <w:kinsoku/>
        <w:wordWrap/>
        <w:overflowPunct/>
        <w:topLinePunct w:val="0"/>
        <w:autoSpaceDE/>
        <w:autoSpaceDN/>
        <w:bidi w:val="0"/>
        <w:adjustRightInd w:val="0"/>
        <w:snapToGrid w:val="0"/>
        <w:spacing w:line="560" w:lineRule="exact"/>
        <w:ind w:firstLine="720"/>
        <w:rPr>
          <w:rFonts w:ascii="仿宋_GB2312"/>
          <w:color w:val="000000"/>
          <w:sz w:val="32"/>
          <w:szCs w:val="32"/>
          <w:lang w:val="zh-CN"/>
        </w:rPr>
      </w:pPr>
      <w:r>
        <w:rPr>
          <w:rFonts w:hint="eastAsia" w:ascii="黑体" w:eastAsia="黑体"/>
          <w:color w:val="000000"/>
          <w:sz w:val="32"/>
          <w:szCs w:val="32"/>
        </w:rPr>
        <w:t>三、项目绩效情况</w:t>
      </w:r>
      <w:r>
        <w:rPr>
          <w:rFonts w:hint="eastAsia" w:ascii="仿宋_GB2312"/>
          <w:color w:val="000000"/>
          <w:sz w:val="32"/>
          <w:szCs w:val="32"/>
          <w:lang w:val="zh-CN"/>
        </w:rPr>
        <w:tab/>
      </w:r>
    </w:p>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楷体_GB2312" w:eastAsia="楷体_GB2312"/>
          <w:b/>
          <w:color w:val="000000"/>
          <w:sz w:val="32"/>
          <w:szCs w:val="32"/>
          <w:lang w:val="zh-CN"/>
        </w:rPr>
      </w:pPr>
      <w:r>
        <w:rPr>
          <w:rFonts w:hint="eastAsia" w:ascii="楷体_GB2312" w:eastAsia="楷体_GB2312"/>
          <w:b/>
          <w:color w:val="000000"/>
          <w:sz w:val="32"/>
          <w:szCs w:val="32"/>
          <w:lang w:val="zh-CN"/>
        </w:rPr>
        <w:t>（一）项目完成</w:t>
      </w:r>
      <w:r>
        <w:rPr>
          <w:rFonts w:hint="eastAsia" w:ascii="楷体_GB2312" w:eastAsia="楷体_GB2312" w:cs="宋体"/>
          <w:b/>
          <w:bCs/>
          <w:color w:val="000000"/>
          <w:sz w:val="32"/>
          <w:szCs w:val="32"/>
          <w:lang w:val="zh-CN"/>
        </w:rPr>
        <w:t>情况</w:t>
      </w:r>
      <w:r>
        <w:rPr>
          <w:rFonts w:hint="eastAsia" w:ascii="楷体_GB2312" w:eastAsia="楷体_GB2312"/>
          <w:b/>
          <w:color w:val="000000"/>
          <w:sz w:val="32"/>
          <w:szCs w:val="32"/>
          <w:lang w:val="zh-CN"/>
        </w:rPr>
        <w:t>。</w:t>
      </w:r>
    </w:p>
    <w:tbl>
      <w:tblPr>
        <w:tblStyle w:val="12"/>
        <w:tblpPr w:leftFromText="180" w:rightFromText="180" w:vertAnchor="text" w:horzAnchor="page" w:tblpX="1819" w:tblpY="251"/>
        <w:tblOverlap w:val="never"/>
        <w:tblW w:w="9120"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4"/>
        <w:gridCol w:w="839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trPr>
        <w:tc>
          <w:tcPr>
            <w:tcW w:w="724" w:type="dxa"/>
            <w:noWrap/>
          </w:tcPr>
          <w:p>
            <w:pPr>
              <w:keepNext w:val="0"/>
              <w:keepLines w:val="0"/>
              <w:pageBreakBefore w:val="0"/>
              <w:kinsoku/>
              <w:wordWrap/>
              <w:overflowPunct/>
              <w:topLinePunct w:val="0"/>
              <w:autoSpaceDE/>
              <w:autoSpaceDN/>
              <w:bidi w:val="0"/>
              <w:spacing w:line="560" w:lineRule="exact"/>
              <w:jc w:val="center"/>
              <w:rPr>
                <w:rFonts w:hint="eastAsia" w:ascii="宋体" w:hAnsi="宋体"/>
                <w:szCs w:val="21"/>
              </w:rPr>
            </w:pPr>
          </w:p>
          <w:p>
            <w:pPr>
              <w:keepNext w:val="0"/>
              <w:keepLines w:val="0"/>
              <w:pageBreakBefore w:val="0"/>
              <w:kinsoku/>
              <w:wordWrap/>
              <w:overflowPunct/>
              <w:topLinePunct w:val="0"/>
              <w:autoSpaceDE/>
              <w:autoSpaceDN/>
              <w:bidi w:val="0"/>
              <w:spacing w:line="560" w:lineRule="exact"/>
              <w:jc w:val="center"/>
              <w:rPr>
                <w:rFonts w:hint="eastAsia" w:ascii="宋体" w:hAnsi="宋体"/>
                <w:szCs w:val="21"/>
              </w:rPr>
            </w:pPr>
          </w:p>
          <w:p>
            <w:pPr>
              <w:keepNext w:val="0"/>
              <w:keepLines w:val="0"/>
              <w:pageBreakBefore w:val="0"/>
              <w:kinsoku/>
              <w:wordWrap/>
              <w:overflowPunct/>
              <w:topLinePunct w:val="0"/>
              <w:autoSpaceDE/>
              <w:autoSpaceDN/>
              <w:bidi w:val="0"/>
              <w:spacing w:line="560" w:lineRule="exact"/>
              <w:rPr>
                <w:rFonts w:hint="eastAsia" w:ascii="宋体" w:hAnsi="宋体"/>
                <w:szCs w:val="21"/>
              </w:rPr>
            </w:pPr>
          </w:p>
          <w:p>
            <w:pPr>
              <w:keepNext w:val="0"/>
              <w:keepLines w:val="0"/>
              <w:pageBreakBefore w:val="0"/>
              <w:kinsoku/>
              <w:wordWrap/>
              <w:overflowPunct/>
              <w:topLinePunct w:val="0"/>
              <w:autoSpaceDE/>
              <w:autoSpaceDN/>
              <w:bidi w:val="0"/>
              <w:spacing w:line="560" w:lineRule="exact"/>
              <w:jc w:val="center"/>
              <w:rPr>
                <w:rFonts w:hint="eastAsia" w:ascii="宋体" w:hAnsi="宋体"/>
                <w:bCs/>
                <w:szCs w:val="21"/>
              </w:rPr>
            </w:pPr>
            <w:r>
              <w:rPr>
                <w:rFonts w:hint="eastAsia" w:ascii="宋体" w:hAnsi="宋体"/>
                <w:bCs/>
                <w:szCs w:val="21"/>
              </w:rPr>
              <w:t>验</w:t>
            </w:r>
          </w:p>
          <w:p>
            <w:pPr>
              <w:keepNext w:val="0"/>
              <w:keepLines w:val="0"/>
              <w:pageBreakBefore w:val="0"/>
              <w:kinsoku/>
              <w:wordWrap/>
              <w:overflowPunct/>
              <w:topLinePunct w:val="0"/>
              <w:autoSpaceDE/>
              <w:autoSpaceDN/>
              <w:bidi w:val="0"/>
              <w:spacing w:line="560" w:lineRule="exact"/>
              <w:jc w:val="center"/>
              <w:rPr>
                <w:rFonts w:hint="eastAsia" w:ascii="宋体" w:hAnsi="宋体"/>
                <w:bCs/>
                <w:szCs w:val="21"/>
              </w:rPr>
            </w:pPr>
            <w:r>
              <w:rPr>
                <w:rFonts w:hint="eastAsia" w:ascii="宋体" w:hAnsi="宋体"/>
                <w:bCs/>
                <w:szCs w:val="21"/>
              </w:rPr>
              <w:t>收</w:t>
            </w:r>
          </w:p>
          <w:p>
            <w:pPr>
              <w:keepNext w:val="0"/>
              <w:keepLines w:val="0"/>
              <w:pageBreakBefore w:val="0"/>
              <w:kinsoku/>
              <w:wordWrap/>
              <w:overflowPunct/>
              <w:topLinePunct w:val="0"/>
              <w:autoSpaceDE/>
              <w:autoSpaceDN/>
              <w:bidi w:val="0"/>
              <w:spacing w:line="560" w:lineRule="exact"/>
              <w:jc w:val="center"/>
              <w:rPr>
                <w:rFonts w:hint="eastAsia" w:ascii="宋体" w:hAnsi="宋体"/>
                <w:bCs/>
                <w:szCs w:val="21"/>
              </w:rPr>
            </w:pPr>
            <w:r>
              <w:rPr>
                <w:rFonts w:hint="eastAsia" w:ascii="宋体" w:hAnsi="宋体"/>
                <w:bCs/>
                <w:szCs w:val="21"/>
              </w:rPr>
              <w:t>项</w:t>
            </w:r>
          </w:p>
          <w:p>
            <w:pPr>
              <w:keepNext w:val="0"/>
              <w:keepLines w:val="0"/>
              <w:pageBreakBefore w:val="0"/>
              <w:kinsoku/>
              <w:wordWrap/>
              <w:overflowPunct/>
              <w:topLinePunct w:val="0"/>
              <w:autoSpaceDE/>
              <w:autoSpaceDN/>
              <w:bidi w:val="0"/>
              <w:spacing w:line="560" w:lineRule="exact"/>
              <w:jc w:val="center"/>
              <w:rPr>
                <w:rFonts w:hint="eastAsia" w:ascii="宋体" w:hAnsi="宋体"/>
                <w:bCs/>
                <w:szCs w:val="21"/>
              </w:rPr>
            </w:pPr>
            <w:r>
              <w:rPr>
                <w:rFonts w:hint="eastAsia" w:ascii="宋体" w:hAnsi="宋体"/>
                <w:bCs/>
                <w:szCs w:val="21"/>
              </w:rPr>
              <w:t>目</w:t>
            </w:r>
          </w:p>
          <w:p>
            <w:pPr>
              <w:keepNext w:val="0"/>
              <w:keepLines w:val="0"/>
              <w:pageBreakBefore w:val="0"/>
              <w:kinsoku/>
              <w:wordWrap/>
              <w:overflowPunct/>
              <w:topLinePunct w:val="0"/>
              <w:autoSpaceDE/>
              <w:autoSpaceDN/>
              <w:bidi w:val="0"/>
              <w:spacing w:line="560" w:lineRule="exact"/>
              <w:jc w:val="center"/>
              <w:rPr>
                <w:rFonts w:hint="eastAsia" w:ascii="宋体" w:hAnsi="宋体"/>
                <w:bCs/>
                <w:szCs w:val="21"/>
              </w:rPr>
            </w:pPr>
            <w:r>
              <w:rPr>
                <w:rFonts w:hint="eastAsia" w:ascii="宋体" w:hAnsi="宋体"/>
                <w:bCs/>
                <w:szCs w:val="21"/>
              </w:rPr>
              <w:t>概</w:t>
            </w:r>
          </w:p>
          <w:p>
            <w:pPr>
              <w:keepNext w:val="0"/>
              <w:keepLines w:val="0"/>
              <w:pageBreakBefore w:val="0"/>
              <w:kinsoku/>
              <w:wordWrap/>
              <w:overflowPunct/>
              <w:topLinePunct w:val="0"/>
              <w:autoSpaceDE/>
              <w:autoSpaceDN/>
              <w:bidi w:val="0"/>
              <w:spacing w:line="560" w:lineRule="exact"/>
              <w:jc w:val="center"/>
              <w:rPr>
                <w:rFonts w:hint="eastAsia" w:ascii="宋体" w:hAnsi="宋体"/>
                <w:szCs w:val="21"/>
              </w:rPr>
            </w:pPr>
            <w:r>
              <w:rPr>
                <w:rFonts w:hint="eastAsia" w:ascii="宋体" w:hAnsi="宋体"/>
                <w:bCs/>
                <w:szCs w:val="21"/>
              </w:rPr>
              <w:t>况</w:t>
            </w:r>
          </w:p>
        </w:tc>
        <w:tc>
          <w:tcPr>
            <w:tcW w:w="8396" w:type="dxa"/>
            <w:noWrap/>
          </w:tcPr>
          <w:tbl>
            <w:tblPr>
              <w:tblStyle w:val="12"/>
              <w:tblW w:w="9510" w:type="dxa"/>
              <w:tblInd w:w="-5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10"/>
              <w:gridCol w:w="5739"/>
              <w:gridCol w:w="1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6" w:hRule="atLeast"/>
              </w:trPr>
              <w:tc>
                <w:tcPr>
                  <w:tcW w:w="951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b/>
                      <w:i w:val="0"/>
                      <w:color w:val="000000"/>
                      <w:sz w:val="32"/>
                      <w:szCs w:val="32"/>
                      <w:u w:val="none"/>
                    </w:rPr>
                  </w:pPr>
                  <w:r>
                    <w:rPr>
                      <w:rFonts w:hint="eastAsia" w:ascii="宋体" w:eastAsia="宋体" w:cs="宋体"/>
                      <w:b/>
                      <w:i w:val="0"/>
                      <w:color w:val="000000"/>
                      <w:kern w:val="0"/>
                      <w:sz w:val="32"/>
                      <w:szCs w:val="32"/>
                      <w:u w:val="none"/>
                      <w:lang w:val="en-US" w:eastAsia="zh-CN"/>
                    </w:rPr>
                    <w:t>阿坝藏族羌族自治州工程建设并联审批系统建设情况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5" w:hRule="atLeast"/>
              </w:trPr>
              <w:tc>
                <w:tcPr>
                  <w:tcW w:w="951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b/>
                      <w:i w:val="0"/>
                      <w:color w:val="000000"/>
                      <w:sz w:val="22"/>
                      <w:szCs w:val="22"/>
                      <w:u w:val="none"/>
                    </w:rPr>
                  </w:pPr>
                  <w:r>
                    <w:rPr>
                      <w:rFonts w:hint="eastAsia" w:ascii="宋体" w:eastAsia="宋体" w:cs="宋体"/>
                      <w:b/>
                      <w:i w:val="0"/>
                      <w:color w:val="000000"/>
                      <w:kern w:val="0"/>
                      <w:sz w:val="22"/>
                      <w:szCs w:val="22"/>
                      <w:u w:val="none"/>
                      <w:lang w:val="en-US" w:eastAsia="zh-CN"/>
                    </w:rPr>
                    <w:t>功能完成情况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9"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b/>
                      <w:i w:val="0"/>
                      <w:color w:val="000000"/>
                      <w:sz w:val="22"/>
                      <w:szCs w:val="22"/>
                      <w:u w:val="none"/>
                    </w:rPr>
                  </w:pPr>
                  <w:r>
                    <w:rPr>
                      <w:rFonts w:hint="eastAsia" w:ascii="宋体" w:eastAsia="宋体" w:cs="宋体"/>
                      <w:b/>
                      <w:i w:val="0"/>
                      <w:color w:val="000000"/>
                      <w:kern w:val="0"/>
                      <w:sz w:val="22"/>
                      <w:szCs w:val="22"/>
                      <w:u w:val="none"/>
                      <w:lang w:val="en-US" w:eastAsia="zh-CN"/>
                    </w:rPr>
                    <w:t xml:space="preserve">   序号</w:t>
                  </w:r>
                </w:p>
              </w:tc>
              <w:tc>
                <w:tcPr>
                  <w:tcW w:w="76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b/>
                      <w:i w:val="0"/>
                      <w:color w:val="000000"/>
                      <w:sz w:val="22"/>
                      <w:szCs w:val="22"/>
                      <w:u w:val="none"/>
                    </w:rPr>
                  </w:pPr>
                  <w:r>
                    <w:rPr>
                      <w:rFonts w:hint="eastAsia" w:ascii="宋体" w:eastAsia="宋体" w:cs="宋体"/>
                      <w:b/>
                      <w:i w:val="0"/>
                      <w:color w:val="000000"/>
                      <w:kern w:val="0"/>
                      <w:sz w:val="22"/>
                      <w:szCs w:val="22"/>
                      <w:u w:val="none"/>
                      <w:lang w:val="en-US" w:eastAsia="zh-CN"/>
                    </w:rPr>
                    <w:t>功能名称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9"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1</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多规合一业务系统</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（含一张蓝图）</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5"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2</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项目策划生成系统</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1"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3</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联合评估评价</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4</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结果共享</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4"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5</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统一申报入口</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4"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6</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网上申报</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8"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7</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统一受理</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8</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并联审批（含配置）</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3"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9</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施工许可</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10</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中介超市</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11</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联合审图</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12</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联合测绘</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13</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联合验收</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14</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信用监管</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15</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项目监督管理</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16</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统计分析</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17</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系统维护</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eastAsia="宋体" w:cs="宋体"/>
                      <w:i w:val="0"/>
                      <w:color w:val="000000"/>
                      <w:sz w:val="22"/>
                      <w:szCs w:val="22"/>
                      <w:u w:val="none"/>
                      <w:lang w:val="en-US"/>
                    </w:rPr>
                  </w:pPr>
                  <w:r>
                    <w:rPr>
                      <w:rFonts w:hint="eastAsia" w:ascii="宋体" w:eastAsia="宋体" w:cs="宋体"/>
                      <w:i w:val="0"/>
                      <w:color w:val="000000"/>
                      <w:kern w:val="0"/>
                      <w:sz w:val="22"/>
                      <w:szCs w:val="22"/>
                      <w:u w:val="none"/>
                      <w:lang w:val="en-US" w:eastAsia="zh-CN"/>
                    </w:rPr>
                    <w:t>18</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市县一体化流转</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9"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eastAsia="宋体" w:cs="宋体"/>
                      <w:i w:val="0"/>
                      <w:color w:val="000000"/>
                      <w:sz w:val="22"/>
                      <w:szCs w:val="22"/>
                      <w:u w:val="none"/>
                      <w:lang w:val="en-US"/>
                    </w:rPr>
                  </w:pPr>
                  <w:r>
                    <w:rPr>
                      <w:rFonts w:hint="eastAsia" w:ascii="宋体" w:eastAsia="宋体" w:cs="宋体"/>
                      <w:i w:val="0"/>
                      <w:color w:val="000000"/>
                      <w:kern w:val="0"/>
                      <w:sz w:val="22"/>
                      <w:szCs w:val="22"/>
                      <w:u w:val="none"/>
                      <w:lang w:val="en-US" w:eastAsia="zh-CN"/>
                    </w:rPr>
                    <w:t>19</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统一收发件</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（一窗受理）</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20</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省一体化政务服务平台</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21</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省工程建设项目审批管系统</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9"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22</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住建系统</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23</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省投资项目在线监管平台</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24</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其他业务系统</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4"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25</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省一体化政务服务平台</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8"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26</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中介超市</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27</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事中事后监管</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eastAsia="宋体" w:cs="宋体"/>
                      <w:i w:val="0"/>
                      <w:color w:val="000000"/>
                      <w:sz w:val="22"/>
                      <w:szCs w:val="22"/>
                      <w:u w:val="none"/>
                      <w:lang w:val="en-US"/>
                    </w:rPr>
                  </w:pPr>
                  <w:r>
                    <w:rPr>
                      <w:rFonts w:hint="eastAsia" w:ascii="宋体" w:eastAsia="宋体" w:cs="宋体"/>
                      <w:i w:val="0"/>
                      <w:color w:val="000000"/>
                      <w:kern w:val="0"/>
                      <w:sz w:val="22"/>
                      <w:szCs w:val="22"/>
                      <w:u w:val="none"/>
                      <w:lang w:val="en-US" w:eastAsia="zh-CN"/>
                    </w:rPr>
                    <w:t>28</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项目监督管理系统</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eastAsia="宋体" w:cs="宋体"/>
                      <w:i w:val="0"/>
                      <w:color w:val="000000"/>
                      <w:sz w:val="22"/>
                      <w:szCs w:val="22"/>
                      <w:u w:val="none"/>
                      <w:lang w:val="en-US"/>
                    </w:rPr>
                  </w:pPr>
                  <w:r>
                    <w:rPr>
                      <w:rFonts w:hint="eastAsia" w:ascii="宋体" w:eastAsia="宋体" w:cs="宋体"/>
                      <w:i w:val="0"/>
                      <w:color w:val="000000"/>
                      <w:kern w:val="0"/>
                      <w:sz w:val="22"/>
                      <w:szCs w:val="22"/>
                      <w:u w:val="none"/>
                      <w:lang w:val="en-US" w:eastAsia="zh-CN"/>
                    </w:rPr>
                    <w:t>29</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大数据可视化分析系统</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30</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三级等保</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31</w:t>
                  </w:r>
                </w:p>
              </w:tc>
              <w:tc>
                <w:tcPr>
                  <w:tcW w:w="573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短信接口</w:t>
                  </w:r>
                </w:p>
              </w:tc>
              <w:tc>
                <w:tcPr>
                  <w:tcW w:w="1861"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rPr>
              <w:tc>
                <w:tcPr>
                  <w:tcW w:w="1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32</w:t>
                  </w:r>
                </w:p>
              </w:tc>
              <w:tc>
                <w:tcPr>
                  <w:tcW w:w="5739"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数据上报（2.0标准）</w:t>
                  </w:r>
                </w:p>
              </w:tc>
              <w:tc>
                <w:tcPr>
                  <w:tcW w:w="1861" w:type="dxa"/>
                  <w:tcBorders>
                    <w:top w:val="single" w:color="000000" w:sz="4" w:space="0"/>
                    <w:left w:val="single" w:color="auto"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560" w:lineRule="exact"/>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已完成</w:t>
                  </w:r>
                </w:p>
              </w:tc>
            </w:tr>
          </w:tbl>
          <w:p>
            <w:pPr>
              <w:keepNext w:val="0"/>
              <w:keepLines w:val="0"/>
              <w:pageBreakBefore w:val="0"/>
              <w:kinsoku/>
              <w:wordWrap/>
              <w:overflowPunct/>
              <w:topLinePunct w:val="0"/>
              <w:autoSpaceDE/>
              <w:autoSpaceDN/>
              <w:bidi w:val="0"/>
              <w:snapToGrid w:val="0"/>
              <w:spacing w:line="560" w:lineRule="exact"/>
              <w:rPr>
                <w:rFonts w:hint="eastAsia" w:ascii="宋体" w:hAnsi="宋体"/>
                <w:szCs w:val="21"/>
              </w:rPr>
            </w:pPr>
          </w:p>
        </w:tc>
      </w:tr>
    </w:tbl>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一共32个</w:t>
      </w:r>
      <w:r>
        <w:rPr>
          <w:rFonts w:hint="eastAsia" w:ascii="仿宋_GB2312" w:hAnsi="仿宋_GB2312" w:eastAsia="仿宋_GB2312" w:cs="仿宋_GB2312"/>
          <w:color w:val="000000"/>
          <w:sz w:val="32"/>
          <w:szCs w:val="32"/>
          <w:lang w:val="zh-CN"/>
        </w:rPr>
        <w:t>阿坝藏族羌族自治州工程建设并联审批系统</w:t>
      </w:r>
      <w:r>
        <w:rPr>
          <w:rFonts w:hint="eastAsia" w:ascii="仿宋_GB2312" w:hAnsi="仿宋_GB2312" w:eastAsia="仿宋_GB2312" w:cs="仿宋_GB2312"/>
          <w:color w:val="000000"/>
          <w:sz w:val="32"/>
          <w:szCs w:val="32"/>
          <w:lang w:val="zh-CN" w:eastAsia="zh-CN"/>
        </w:rPr>
        <w:t>项目</w:t>
      </w:r>
      <w:r>
        <w:rPr>
          <w:rFonts w:hint="eastAsia" w:ascii="仿宋_GB2312" w:hAnsi="仿宋_GB2312" w:eastAsia="仿宋_GB2312" w:cs="仿宋_GB2312"/>
          <w:bCs/>
          <w:color w:val="000000"/>
          <w:sz w:val="32"/>
          <w:szCs w:val="32"/>
          <w:lang w:val="zh-CN"/>
        </w:rPr>
        <w:t>按照合同的约定顺利完成</w:t>
      </w:r>
      <w:r>
        <w:rPr>
          <w:rFonts w:hint="eastAsia" w:ascii="仿宋_GB2312" w:hAnsi="仿宋_GB2312" w:eastAsia="仿宋_GB2312" w:cs="仿宋_GB2312"/>
          <w:bCs/>
          <w:color w:val="000000"/>
          <w:sz w:val="32"/>
          <w:szCs w:val="32"/>
          <w:lang w:val="zh-CN" w:eastAsia="zh-CN"/>
        </w:rPr>
        <w:t>开发、部署、调试等工作，</w:t>
      </w:r>
      <w:r>
        <w:rPr>
          <w:rFonts w:hint="eastAsia" w:ascii="仿宋_GB2312" w:hAnsi="仿宋_GB2312" w:eastAsia="仿宋_GB2312" w:cs="仿宋_GB2312"/>
          <w:bCs/>
          <w:color w:val="000000"/>
          <w:sz w:val="32"/>
          <w:szCs w:val="32"/>
          <w:lang w:val="zh-CN"/>
        </w:rPr>
        <w:t>并</w:t>
      </w:r>
      <w:r>
        <w:rPr>
          <w:rFonts w:hint="eastAsia" w:ascii="仿宋_GB2312" w:hAnsi="仿宋_GB2312" w:eastAsia="仿宋_GB2312" w:cs="仿宋_GB2312"/>
          <w:bCs/>
          <w:color w:val="000000"/>
          <w:sz w:val="32"/>
          <w:szCs w:val="32"/>
          <w:lang w:val="zh-CN" w:eastAsia="zh-CN"/>
        </w:rPr>
        <w:t>已正式运行</w:t>
      </w:r>
      <w:r>
        <w:rPr>
          <w:rFonts w:hint="eastAsia" w:ascii="仿宋_GB2312" w:hAnsi="仿宋_GB2312" w:eastAsia="仿宋_GB2312" w:cs="仿宋_GB2312"/>
          <w:bCs/>
          <w:color w:val="000000"/>
          <w:sz w:val="32"/>
          <w:szCs w:val="32"/>
          <w:lang w:val="zh-CN"/>
        </w:rPr>
        <w:t>，系统目前运行稳定</w:t>
      </w:r>
      <w:r>
        <w:rPr>
          <w:rFonts w:hint="eastAsia" w:ascii="仿宋_GB2312" w:hAnsi="仿宋_GB2312" w:eastAsia="仿宋_GB2312" w:cs="仿宋_GB2312"/>
          <w:bCs/>
          <w:color w:val="000000"/>
          <w:sz w:val="32"/>
          <w:szCs w:val="32"/>
          <w:lang w:val="zh-CN" w:eastAsia="zh-CN"/>
        </w:rPr>
        <w:t>，目前成本为</w:t>
      </w:r>
      <w:r>
        <w:rPr>
          <w:rFonts w:hint="eastAsia" w:ascii="仿宋_GB2312" w:hAnsi="仿宋_GB2312" w:eastAsia="仿宋_GB2312" w:cs="仿宋_GB2312"/>
          <w:color w:val="000000"/>
          <w:sz w:val="32"/>
          <w:szCs w:val="32"/>
          <w:lang w:val="zh-CN" w:eastAsia="zh-CN"/>
        </w:rPr>
        <w:t>5,908,000元。</w:t>
      </w:r>
    </w:p>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目标建设质量：1.系统构建件优化设计，面向对象，可以做到灵活扩展系统使用的三层架构体系，充分考虑以后纵向和横向的发展在网络稳定的环境下操作性界面下的反应时间均要求小于3秒。登录、录入、修改、删除等事务操作均要小于3秒；单笔记录查询平均小于等于5秒；统计和大数据量查询，单笔统计的平均响应时间小于等于10秒。除单笔统计以外的其他统计平均响应时间要小于等于15秒。系统支持正常1000个用户同时在线的性能要求；当300个用户并发请求同一个中等复杂的事务时响应时间不能超过3秒。系统使用css样式设计表、JavaScript脚本代码能够具有普遍使用性，能够支持主流的浏览器。平台7*24不停机运行，系统维护、数据维护都可以在线上运行。</w:t>
      </w:r>
    </w:p>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仿宋_GB2312" w:hAnsi="仿宋_GB2312" w:eastAsia="仿宋_GB2312" w:cs="仿宋_GB2312"/>
          <w:bCs/>
          <w:color w:val="000000"/>
          <w:sz w:val="32"/>
          <w:szCs w:val="32"/>
          <w:lang w:val="zh-CN" w:eastAsia="zh-CN"/>
        </w:rPr>
      </w:pPr>
      <w:r>
        <w:rPr>
          <w:rFonts w:hint="eastAsia" w:ascii="仿宋_GB2312" w:hAnsi="仿宋_GB2312" w:eastAsia="仿宋_GB2312" w:cs="仿宋_GB2312"/>
          <w:color w:val="000000"/>
          <w:sz w:val="32"/>
          <w:szCs w:val="32"/>
          <w:lang w:val="zh-CN" w:eastAsia="zh-CN"/>
        </w:rPr>
        <w:t>时效：</w:t>
      </w:r>
      <w:r>
        <w:rPr>
          <w:rFonts w:hint="eastAsia" w:ascii="仿宋_GB2312" w:hAnsi="仿宋_GB2312" w:eastAsia="仿宋_GB2312" w:cs="仿宋_GB2312"/>
          <w:bCs/>
          <w:color w:val="000000"/>
          <w:sz w:val="32"/>
          <w:szCs w:val="32"/>
          <w:lang w:val="zh-CN"/>
        </w:rPr>
        <w:t>201</w:t>
      </w:r>
      <w:r>
        <w:rPr>
          <w:rFonts w:hint="eastAsia" w:ascii="仿宋_GB2312" w:hAnsi="仿宋_GB2312" w:eastAsia="仿宋_GB2312" w:cs="仿宋_GB2312"/>
          <w:bCs/>
          <w:color w:val="000000"/>
          <w:sz w:val="32"/>
          <w:szCs w:val="32"/>
          <w:lang w:val="zh-CN" w:eastAsia="zh-CN"/>
        </w:rPr>
        <w:t>9</w:t>
      </w:r>
      <w:r>
        <w:rPr>
          <w:rFonts w:hint="eastAsia" w:ascii="仿宋_GB2312" w:hAnsi="仿宋_GB2312" w:eastAsia="仿宋_GB2312" w:cs="仿宋_GB2312"/>
          <w:bCs/>
          <w:color w:val="000000"/>
          <w:sz w:val="32"/>
          <w:szCs w:val="32"/>
          <w:lang w:val="zh-CN"/>
        </w:rPr>
        <w:t>年</w:t>
      </w:r>
      <w:r>
        <w:rPr>
          <w:rFonts w:hint="eastAsia" w:ascii="仿宋_GB2312" w:hAnsi="仿宋_GB2312" w:eastAsia="仿宋_GB2312" w:cs="仿宋_GB2312"/>
          <w:bCs/>
          <w:color w:val="000000"/>
          <w:sz w:val="32"/>
          <w:szCs w:val="32"/>
          <w:lang w:val="zh-CN" w:eastAsia="zh-CN"/>
        </w:rPr>
        <w:t>9</w:t>
      </w:r>
      <w:r>
        <w:rPr>
          <w:rFonts w:hint="eastAsia" w:ascii="仿宋_GB2312" w:hAnsi="仿宋_GB2312" w:eastAsia="仿宋_GB2312" w:cs="仿宋_GB2312"/>
          <w:bCs/>
          <w:color w:val="000000"/>
          <w:sz w:val="32"/>
          <w:szCs w:val="32"/>
          <w:lang w:val="zh-CN"/>
        </w:rPr>
        <w:t>月</w:t>
      </w:r>
      <w:r>
        <w:rPr>
          <w:rFonts w:hint="eastAsia" w:ascii="仿宋_GB2312" w:hAnsi="仿宋_GB2312" w:eastAsia="仿宋_GB2312" w:cs="仿宋_GB2312"/>
          <w:bCs/>
          <w:color w:val="000000"/>
          <w:sz w:val="32"/>
          <w:szCs w:val="32"/>
          <w:lang w:val="zh-CN" w:eastAsia="zh-CN"/>
        </w:rPr>
        <w:t>24</w:t>
      </w:r>
      <w:r>
        <w:rPr>
          <w:rFonts w:hint="eastAsia" w:ascii="仿宋_GB2312" w:hAnsi="仿宋_GB2312" w:eastAsia="仿宋_GB2312" w:cs="仿宋_GB2312"/>
          <w:bCs/>
          <w:color w:val="000000"/>
          <w:sz w:val="32"/>
          <w:szCs w:val="32"/>
          <w:lang w:val="zh-CN"/>
        </w:rPr>
        <w:t>日</w:t>
      </w:r>
      <w:r>
        <w:rPr>
          <w:rFonts w:hint="eastAsia" w:ascii="仿宋_GB2312" w:hAnsi="仿宋_GB2312" w:eastAsia="仿宋_GB2312" w:cs="仿宋_GB2312"/>
          <w:bCs/>
          <w:color w:val="000000"/>
          <w:sz w:val="32"/>
          <w:szCs w:val="32"/>
          <w:lang w:val="zh-CN" w:eastAsia="zh-CN"/>
        </w:rPr>
        <w:t>到</w:t>
      </w:r>
      <w:r>
        <w:rPr>
          <w:rFonts w:hint="eastAsia" w:ascii="仿宋_GB2312" w:hAnsi="仿宋_GB2312" w:eastAsia="仿宋_GB2312" w:cs="仿宋_GB2312"/>
          <w:bCs/>
          <w:color w:val="000000"/>
          <w:sz w:val="32"/>
          <w:szCs w:val="32"/>
          <w:lang w:val="zh-CN"/>
        </w:rPr>
        <w:t>20</w:t>
      </w:r>
      <w:r>
        <w:rPr>
          <w:rFonts w:hint="eastAsia" w:ascii="仿宋_GB2312" w:hAnsi="仿宋_GB2312" w:eastAsia="仿宋_GB2312" w:cs="仿宋_GB2312"/>
          <w:bCs/>
          <w:color w:val="000000"/>
          <w:sz w:val="32"/>
          <w:szCs w:val="32"/>
          <w:lang w:val="zh-CN" w:eastAsia="zh-CN"/>
        </w:rPr>
        <w:t>19</w:t>
      </w:r>
      <w:r>
        <w:rPr>
          <w:rFonts w:hint="eastAsia" w:ascii="仿宋_GB2312" w:hAnsi="仿宋_GB2312" w:eastAsia="仿宋_GB2312" w:cs="仿宋_GB2312"/>
          <w:bCs/>
          <w:color w:val="000000"/>
          <w:sz w:val="32"/>
          <w:szCs w:val="32"/>
          <w:lang w:val="zh-CN"/>
        </w:rPr>
        <w:t>年</w:t>
      </w:r>
      <w:r>
        <w:rPr>
          <w:rFonts w:hint="eastAsia" w:ascii="仿宋_GB2312" w:hAnsi="仿宋_GB2312" w:eastAsia="仿宋_GB2312" w:cs="仿宋_GB2312"/>
          <w:bCs/>
          <w:color w:val="000000"/>
          <w:sz w:val="32"/>
          <w:szCs w:val="32"/>
          <w:lang w:val="zh-CN" w:eastAsia="zh-CN"/>
        </w:rPr>
        <w:t>12</w:t>
      </w:r>
      <w:r>
        <w:rPr>
          <w:rFonts w:hint="eastAsia" w:ascii="仿宋_GB2312" w:hAnsi="仿宋_GB2312" w:eastAsia="仿宋_GB2312" w:cs="仿宋_GB2312"/>
          <w:bCs/>
          <w:color w:val="000000"/>
          <w:sz w:val="32"/>
          <w:szCs w:val="32"/>
          <w:lang w:val="zh-CN"/>
        </w:rPr>
        <w:t>月</w:t>
      </w:r>
      <w:r>
        <w:rPr>
          <w:rFonts w:hint="eastAsia" w:ascii="仿宋_GB2312" w:hAnsi="仿宋_GB2312" w:eastAsia="仿宋_GB2312" w:cs="仿宋_GB2312"/>
          <w:bCs/>
          <w:color w:val="000000"/>
          <w:sz w:val="32"/>
          <w:szCs w:val="32"/>
          <w:lang w:val="zh-CN" w:eastAsia="zh-CN"/>
        </w:rPr>
        <w:t>24</w:t>
      </w:r>
      <w:r>
        <w:rPr>
          <w:rFonts w:hint="eastAsia" w:ascii="仿宋_GB2312" w:hAnsi="仿宋_GB2312" w:eastAsia="仿宋_GB2312" w:cs="仿宋_GB2312"/>
          <w:bCs/>
          <w:color w:val="000000"/>
          <w:sz w:val="32"/>
          <w:szCs w:val="32"/>
          <w:lang w:val="zh-CN"/>
        </w:rPr>
        <w:t>日</w:t>
      </w:r>
      <w:r>
        <w:rPr>
          <w:rFonts w:hint="eastAsia" w:ascii="仿宋_GB2312" w:hAnsi="仿宋_GB2312" w:eastAsia="仿宋_GB2312" w:cs="仿宋_GB2312"/>
          <w:bCs/>
          <w:color w:val="000000"/>
          <w:sz w:val="32"/>
          <w:szCs w:val="32"/>
          <w:lang w:val="zh-CN" w:eastAsia="zh-CN"/>
        </w:rPr>
        <w:t>完成对系统的开发与调试；2019年12月25日到2020年1月25日客户进行对系统的验收；2020年1月26号到现在对系统进行后期的维护。</w:t>
      </w:r>
    </w:p>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bCs/>
          <w:color w:val="000000"/>
          <w:sz w:val="32"/>
          <w:szCs w:val="32"/>
          <w:lang w:val="zh-CN" w:eastAsia="zh-CN"/>
        </w:rPr>
        <w:t>评价：目前在合理的工作和精确的计算控制下项目保质保量的完成，客户的满意程度很高各项支出并未超出预算。</w:t>
      </w:r>
    </w:p>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楷体_GB2312" w:eastAsia="楷体_GB2312" w:cs="宋体"/>
          <w:b/>
          <w:bCs/>
          <w:color w:val="000000"/>
          <w:sz w:val="32"/>
          <w:szCs w:val="32"/>
          <w:lang w:val="zh-CN"/>
        </w:rPr>
      </w:pPr>
      <w:r>
        <w:rPr>
          <w:rFonts w:hint="eastAsia" w:ascii="楷体_GB2312" w:eastAsia="楷体_GB2312" w:cs="宋体"/>
          <w:b/>
          <w:bCs/>
          <w:color w:val="000000"/>
          <w:sz w:val="32"/>
          <w:szCs w:val="32"/>
          <w:lang w:val="zh-CN"/>
        </w:rPr>
        <w:t>（二）项目效益情况。</w:t>
      </w:r>
    </w:p>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目前阿坝藏族羌族自治州工程建设并联审批系统已完成招投标文件规定的主要建设任务和研究内容，达到了该项目的整体目标和要求。</w:t>
      </w:r>
    </w:p>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该项目有效解决了办件效率慢，办件容易出错，有效的提高了工作人员的效率和需要办件人员的情况了解，还有满足多规成果和各部门规划成果的跨部门数据共享需求，解决各个部门数据资源“各自为政”以及其他部门数据资源的“获取难，共享难”问题，提升各个部门之间日常工作交互的效率，对经济和社会生态起到了正向积极的作用。</w:t>
      </w:r>
    </w:p>
    <w:p>
      <w:pPr>
        <w:keepNext w:val="0"/>
        <w:keepLines w:val="0"/>
        <w:pageBreakBefore w:val="0"/>
        <w:kinsoku/>
        <w:wordWrap/>
        <w:overflowPunct/>
        <w:topLinePunct w:val="0"/>
        <w:autoSpaceDE/>
        <w:autoSpaceDN/>
        <w:bidi w:val="0"/>
        <w:adjustRightInd w:val="0"/>
        <w:snapToGrid w:val="0"/>
        <w:spacing w:line="560" w:lineRule="exact"/>
        <w:ind w:firstLine="720"/>
        <w:rPr>
          <w:rFonts w:ascii="黑体" w:eastAsia="黑体"/>
          <w:color w:val="000000"/>
          <w:sz w:val="32"/>
          <w:szCs w:val="32"/>
        </w:rPr>
      </w:pPr>
      <w:r>
        <w:rPr>
          <w:rFonts w:hint="eastAsia" w:ascii="黑体" w:eastAsia="黑体"/>
          <w:color w:val="000000"/>
          <w:sz w:val="32"/>
          <w:szCs w:val="32"/>
        </w:rPr>
        <w:t>四、问题及建议</w:t>
      </w:r>
    </w:p>
    <w:p>
      <w:pPr>
        <w:keepNext w:val="0"/>
        <w:keepLines w:val="0"/>
        <w:pageBreakBefore w:val="0"/>
        <w:kinsoku/>
        <w:wordWrap/>
        <w:overflowPunct/>
        <w:topLinePunct w:val="0"/>
        <w:autoSpaceDE/>
        <w:autoSpaceDN/>
        <w:bidi w:val="0"/>
        <w:spacing w:line="560" w:lineRule="exact"/>
        <w:ind w:firstLine="643" w:firstLineChars="200"/>
        <w:rPr>
          <w:rFonts w:hint="eastAsia" w:ascii="仿宋_GB2312" w:hAnsi="仿宋_GB2312" w:eastAsia="仿宋_GB2312" w:cs="仿宋_GB2312"/>
          <w:color w:val="000000"/>
          <w:sz w:val="32"/>
          <w:szCs w:val="32"/>
          <w:lang w:val="zh-CN" w:eastAsia="zh-CN"/>
        </w:rPr>
      </w:pPr>
      <w:r>
        <w:rPr>
          <w:rFonts w:hint="eastAsia" w:ascii="楷体_GB2312" w:eastAsia="楷体_GB2312"/>
          <w:b/>
          <w:color w:val="000000"/>
          <w:sz w:val="32"/>
          <w:szCs w:val="32"/>
          <w:lang w:val="zh-CN"/>
        </w:rPr>
        <w:t>（一）存在的问题。</w:t>
      </w:r>
      <w:r>
        <w:rPr>
          <w:rFonts w:hint="eastAsia" w:ascii="仿宋_GB2312" w:hAnsi="仿宋_GB2312" w:eastAsia="仿宋_GB2312" w:cs="仿宋_GB2312"/>
          <w:color w:val="000000"/>
          <w:sz w:val="32"/>
          <w:szCs w:val="32"/>
          <w:lang w:val="zh-CN" w:eastAsia="zh-CN"/>
        </w:rPr>
        <w:t>因各市州自建系统均未能实现与发改委投资在线监管平台、政务一体化平台等平台对接。2019年11月18日，省政府第36次常务会议研究通过《四川省工程建设项目审批管理系统（2.0版）建设总体方案》，明确全省省级系统、21个市（州）系统和若干部门业务系统统一在一个平台共享数据、协同业务，所有工程建设项目审批要进入该系统运行。2020年3月，省大数据中心依托政务一体化平台统筹建成了四川省工程建设项目审批管理系统（2.0版），并下发通知要求各市（州）使用该系统。我州房屋建筑和市政工程项目7月进入该系统运行，交通水利等其他项目10月进入该系统运行。</w:t>
      </w:r>
    </w:p>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仿宋_GB2312" w:hAnsi="仿宋_GB2312" w:eastAsia="仿宋_GB2312" w:cs="仿宋_GB2312"/>
          <w:color w:val="000000"/>
          <w:sz w:val="32"/>
          <w:szCs w:val="32"/>
          <w:lang w:val="zh-CN" w:eastAsia="zh-CN"/>
        </w:rPr>
      </w:pPr>
      <w:r>
        <w:rPr>
          <w:rFonts w:hint="eastAsia" w:ascii="楷体_GB2312" w:eastAsia="楷体_GB2312"/>
          <w:b/>
          <w:color w:val="000000"/>
          <w:sz w:val="32"/>
          <w:szCs w:val="32"/>
          <w:lang w:val="zh-CN"/>
        </w:rPr>
        <w:t>（二）相关建议。</w:t>
      </w:r>
      <w:r>
        <w:rPr>
          <w:rFonts w:hint="eastAsia" w:ascii="仿宋_GB2312" w:hAnsi="仿宋_GB2312" w:eastAsia="仿宋_GB2312" w:cs="仿宋_GB2312"/>
          <w:color w:val="000000"/>
          <w:sz w:val="32"/>
          <w:szCs w:val="32"/>
          <w:lang w:val="zh-CN" w:eastAsia="zh-CN"/>
        </w:rPr>
        <w:t>将阿坝州工程建设项目审批管理系统作为四川省工程建设项目审批管理系统的辅助系统，保留项目监督管理系统、大数据可视化分析系统等内容。</w:t>
      </w:r>
    </w:p>
    <w:p>
      <w:pPr>
        <w:keepNext w:val="0"/>
        <w:keepLines w:val="0"/>
        <w:pageBreakBefore w:val="0"/>
        <w:kinsoku/>
        <w:wordWrap/>
        <w:overflowPunct/>
        <w:topLinePunct w:val="0"/>
        <w:autoSpaceDE/>
        <w:autoSpaceDN/>
        <w:bidi w:val="0"/>
        <w:adjustRightInd w:val="0"/>
        <w:snapToGrid w:val="0"/>
        <w:spacing w:line="560" w:lineRule="exact"/>
        <w:ind w:firstLine="720"/>
        <w:rPr>
          <w:rFonts w:hint="eastAsia" w:ascii="楷体_GB2312" w:eastAsia="楷体_GB2312"/>
          <w:b/>
          <w:color w:val="000000"/>
          <w:sz w:val="32"/>
          <w:szCs w:val="32"/>
          <w:lang w:val="zh-CN"/>
        </w:rPr>
      </w:pPr>
    </w:p>
    <w:p>
      <w:pPr>
        <w:adjustRightInd w:val="0"/>
        <w:snapToGrid w:val="0"/>
        <w:spacing w:line="600" w:lineRule="exact"/>
        <w:ind w:firstLine="720"/>
        <w:rPr>
          <w:rFonts w:hint="eastAsia" w:ascii="仿宋_GB2312" w:hAnsi="宋体"/>
          <w:sz w:val="32"/>
          <w:szCs w:val="32"/>
          <w:lang w:val="en-US" w:eastAsia="zh-CN"/>
        </w:rPr>
      </w:pPr>
    </w:p>
    <w:p>
      <w:pPr>
        <w:widowControl/>
        <w:jc w:val="left"/>
        <w:rPr>
          <w:rStyle w:val="24"/>
          <w:rFonts w:ascii="黑体" w:hAnsi="黑体" w:eastAsia="黑体"/>
          <w:b w:val="0"/>
          <w:sz w:val="32"/>
          <w:szCs w:val="32"/>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pStyle w:val="31"/>
        <w:spacing w:line="600" w:lineRule="exact"/>
        <w:ind w:firstLine="883"/>
        <w:jc w:val="center"/>
        <w:rPr>
          <w:rFonts w:hint="eastAsia" w:ascii="仿宋_GB2312" w:hAnsi="宋体" w:eastAsia="方正小标宋简体"/>
          <w:color w:val="auto"/>
          <w:kern w:val="2"/>
          <w:sz w:val="32"/>
          <w:szCs w:val="32"/>
          <w:lang w:val="en-US" w:eastAsia="zh-CN"/>
        </w:rPr>
      </w:pPr>
      <w:r>
        <w:rPr>
          <w:rFonts w:hint="eastAsia" w:ascii="方正小标宋简体" w:hAnsi="宋体" w:eastAsia="方正小标宋简体"/>
          <w:sz w:val="44"/>
          <w:szCs w:val="44"/>
        </w:rPr>
        <w:t>项目支出绩效自评报告</w:t>
      </w:r>
      <w:r>
        <w:rPr>
          <w:rFonts w:hint="eastAsia" w:ascii="方正小标宋简体" w:hAnsi="宋体" w:eastAsia="方正小标宋简体"/>
          <w:sz w:val="44"/>
          <w:szCs w:val="44"/>
          <w:lang w:val="en-US" w:eastAsia="zh-CN"/>
        </w:rPr>
        <w:t>四</w:t>
      </w:r>
    </w:p>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办公设备采购</w:t>
      </w:r>
      <w:r>
        <w:rPr>
          <w:rFonts w:hint="eastAsia" w:ascii="仿宋_GB2312" w:hAnsi="仿宋_GB2312" w:eastAsia="仿宋_GB2312" w:cs="仿宋_GB2312"/>
          <w:sz w:val="28"/>
          <w:szCs w:val="28"/>
        </w:rPr>
        <w:t>）</w:t>
      </w:r>
    </w:p>
    <w:p>
      <w:pPr>
        <w:pStyle w:val="31"/>
        <w:spacing w:line="600" w:lineRule="exact"/>
        <w:ind w:firstLine="640"/>
        <w:jc w:val="center"/>
        <w:rPr>
          <w:rFonts w:ascii="宋体" w:hAnsi="宋体"/>
          <w:color w:val="auto"/>
          <w:kern w:val="2"/>
          <w:sz w:val="32"/>
          <w:szCs w:val="32"/>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hint="eastAsia" w:ascii="仿宋_GB2312" w:hAnsi="仿宋_GB2312" w:eastAsia="仿宋_GB2312" w:cs="仿宋_GB2312"/>
          <w:sz w:val="32"/>
          <w:szCs w:val="32"/>
          <w:lang w:val="en-US" w:eastAsia="zh-CN"/>
        </w:rPr>
      </w:pPr>
      <w:r>
        <w:rPr>
          <w:rFonts w:hint="eastAsia" w:ascii="楷体_GB2312" w:hAnsi="宋体" w:eastAsia="楷体_GB2312"/>
          <w:b/>
          <w:sz w:val="32"/>
          <w:szCs w:val="32"/>
          <w:lang w:val="zh-CN"/>
        </w:rPr>
        <w:t>（一）项目资金申报及批复情况。</w:t>
      </w:r>
      <w:r>
        <w:rPr>
          <w:rFonts w:hint="eastAsia" w:ascii="仿宋_GB2312" w:hAnsi="仿宋_GB2312" w:eastAsia="仿宋_GB2312" w:cs="仿宋_GB2312"/>
          <w:sz w:val="32"/>
          <w:szCs w:val="32"/>
          <w:lang w:val="en-US" w:eastAsia="zh-CN"/>
        </w:rPr>
        <w:t>该项目预算金额为15万元，实际批复金额为15万元。</w:t>
      </w:r>
    </w:p>
    <w:p>
      <w:pPr>
        <w:adjustRightInd w:val="0"/>
        <w:snapToGrid w:val="0"/>
        <w:spacing w:line="600" w:lineRule="exact"/>
        <w:ind w:firstLine="720"/>
        <w:rPr>
          <w:rFonts w:hint="default" w:ascii="仿宋_GB2312" w:hAnsi="仿宋_GB2312" w:eastAsia="仿宋_GB2312" w:cs="仿宋_GB2312"/>
          <w:sz w:val="32"/>
          <w:szCs w:val="32"/>
          <w:lang w:val="en-US" w:eastAsia="zh-CN"/>
        </w:rPr>
      </w:pPr>
      <w:r>
        <w:rPr>
          <w:rFonts w:hint="eastAsia" w:ascii="楷体_GB2312" w:hAnsi="宋体" w:eastAsia="楷体_GB2312"/>
          <w:b/>
          <w:sz w:val="32"/>
          <w:szCs w:val="32"/>
          <w:lang w:val="zh-CN"/>
        </w:rPr>
        <w:t>（二）项目绩效目标。</w:t>
      </w:r>
      <w:r>
        <w:rPr>
          <w:rFonts w:hint="eastAsia" w:ascii="仿宋_GB2312" w:hAnsi="仿宋_GB2312" w:eastAsia="仿宋_GB2312" w:cs="仿宋_GB2312"/>
          <w:sz w:val="32"/>
          <w:szCs w:val="32"/>
          <w:lang w:val="en-US" w:eastAsia="zh-CN"/>
        </w:rPr>
        <w:t>该项目的年度绩效目标是采购办公设备，满足日常办公需求，进一步提高办公效率。</w:t>
      </w:r>
    </w:p>
    <w:p>
      <w:pPr>
        <w:adjustRightInd w:val="0"/>
        <w:snapToGrid w:val="0"/>
        <w:spacing w:line="600" w:lineRule="exact"/>
        <w:ind w:firstLine="720"/>
        <w:rPr>
          <w:rFonts w:hint="default" w:ascii="仿宋_GB2312" w:hAnsi="仿宋_GB2312" w:eastAsia="仿宋_GB2312" w:cs="仿宋_GB2312"/>
          <w:sz w:val="32"/>
          <w:szCs w:val="32"/>
          <w:lang w:val="en-US" w:eastAsia="zh-CN"/>
        </w:rPr>
      </w:pPr>
      <w:r>
        <w:rPr>
          <w:rFonts w:hint="eastAsia" w:ascii="楷体_GB2312" w:hAnsi="宋体" w:eastAsia="楷体_GB2312"/>
          <w:b/>
          <w:sz w:val="32"/>
          <w:szCs w:val="32"/>
          <w:lang w:val="zh-CN"/>
        </w:rPr>
        <w:t>（三）项目资金申报相符性。</w:t>
      </w:r>
      <w:r>
        <w:rPr>
          <w:rFonts w:hint="eastAsia" w:ascii="仿宋_GB2312" w:hAnsi="仿宋_GB2312" w:eastAsia="仿宋_GB2312" w:cs="仿宋_GB2312"/>
          <w:sz w:val="32"/>
          <w:szCs w:val="32"/>
          <w:lang w:val="en-US" w:eastAsia="zh-CN"/>
        </w:rPr>
        <w:t>该项目通过政府采购方式网上竞价及商场直购进行，同类商品市场品种多，参考价格有价值，预算合理。</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sz w:val="32"/>
          <w:szCs w:val="32"/>
          <w:lang w:val="zh-CN"/>
        </w:rPr>
        <w:tab/>
      </w:r>
      <w:r>
        <w:rPr>
          <w:rFonts w:hint="eastAsia" w:ascii="楷体_GB2312" w:hAnsi="宋体" w:eastAsia="楷体_GB2312"/>
          <w:b/>
          <w:sz w:val="32"/>
          <w:szCs w:val="32"/>
          <w:lang w:val="zh-CN"/>
        </w:rPr>
        <w:t>（一）资金计划、到位及使用情况。</w:t>
      </w:r>
    </w:p>
    <w:p>
      <w:pPr>
        <w:adjustRightInd w:val="0"/>
        <w:snapToGrid w:val="0"/>
        <w:spacing w:line="600" w:lineRule="exact"/>
        <w:ind w:firstLine="72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1．资金计划及到位。该项目</w:t>
      </w:r>
      <w:r>
        <w:rPr>
          <w:rFonts w:hint="eastAsia" w:ascii="仿宋_GB2312" w:hAnsi="仿宋_GB2312" w:eastAsia="仿宋_GB2312" w:cs="仿宋_GB2312"/>
          <w:sz w:val="32"/>
          <w:szCs w:val="32"/>
          <w:lang w:val="en-US" w:eastAsia="zh-CN"/>
        </w:rPr>
        <w:t>资金通过年初预算下达至单位大平台。</w:t>
      </w:r>
    </w:p>
    <w:p>
      <w:pPr>
        <w:adjustRightInd w:val="0"/>
        <w:snapToGrid w:val="0"/>
        <w:spacing w:line="600" w:lineRule="exact"/>
        <w:ind w:firstLine="72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2．资金使用。</w:t>
      </w:r>
      <w:r>
        <w:rPr>
          <w:rFonts w:hint="eastAsia" w:ascii="仿宋_GB2312" w:hAnsi="仿宋_GB2312" w:eastAsia="仿宋_GB2312" w:cs="仿宋_GB2312"/>
          <w:sz w:val="32"/>
          <w:szCs w:val="32"/>
          <w:lang w:val="en-US" w:eastAsia="zh-CN"/>
        </w:rPr>
        <w:t>该项目已于2019年9月完成，并通过财政直接支付的方式支付了全部项目合同款144028元。</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（二）项目财务管理情况。</w:t>
      </w:r>
    </w:p>
    <w:p>
      <w:pPr>
        <w:adjustRightInd w:val="0"/>
        <w:snapToGrid w:val="0"/>
        <w:spacing w:line="600" w:lineRule="exact"/>
        <w:ind w:firstLine="72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该项目经费是财政下达的项目资金，我局严格按照州财政局项目资金管理办法通过财政直接支付方式进行管理，资金支付进度和方式严格按照合同进行，</w:t>
      </w:r>
      <w:r>
        <w:rPr>
          <w:rFonts w:hint="eastAsia" w:ascii="仿宋_GB2312" w:hAnsi="仿宋_GB2312" w:eastAsia="仿宋_GB2312" w:cs="仿宋_GB2312"/>
          <w:sz w:val="32"/>
          <w:szCs w:val="32"/>
          <w:lang w:val="zh-CN" w:eastAsia="zh-CN"/>
        </w:rPr>
        <w:t>严格</w:t>
      </w:r>
      <w:r>
        <w:rPr>
          <w:rFonts w:hint="eastAsia" w:ascii="仿宋_GB2312" w:hAnsi="仿宋_GB2312" w:eastAsia="仿宋_GB2312" w:cs="仿宋_GB2312"/>
          <w:sz w:val="32"/>
          <w:szCs w:val="32"/>
          <w:lang w:val="en-US" w:eastAsia="zh-CN"/>
        </w:rPr>
        <w:t>遵守各项财务管理制度，</w:t>
      </w:r>
      <w:r>
        <w:rPr>
          <w:rFonts w:hint="eastAsia" w:ascii="仿宋_GB2312" w:hAnsi="仿宋_GB2312" w:eastAsia="仿宋_GB2312" w:cs="仿宋_GB2312"/>
          <w:sz w:val="32"/>
          <w:szCs w:val="32"/>
          <w:lang w:val="zh-CN" w:eastAsia="zh-CN"/>
        </w:rPr>
        <w:t>及时进行了财务处理、会计核算规范。</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（三）项目组织实施情况。</w:t>
      </w:r>
    </w:p>
    <w:p>
      <w:pPr>
        <w:adjustRightInd w:val="0"/>
        <w:snapToGrid w:val="0"/>
        <w:spacing w:line="600" w:lineRule="exact"/>
        <w:ind w:firstLine="72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该项目通过年初采购备案，并经采购备案管理部门批准，单位分别经网上竞价、商场直购的方式进行了采购。采购过程合规合法。项目实施过程中，单位监督贯穿全过程，确保项目实现预定效益。</w:t>
      </w:r>
    </w:p>
    <w:p>
      <w:pPr>
        <w:adjustRightInd w:val="0"/>
        <w:snapToGrid w:val="0"/>
        <w:spacing w:line="600" w:lineRule="exact"/>
        <w:ind w:firstLine="720"/>
        <w:rPr>
          <w:rFonts w:ascii="仿宋_GB2312" w:hAnsi="宋体"/>
          <w:sz w:val="32"/>
          <w:szCs w:val="32"/>
          <w:lang w:val="zh-CN"/>
        </w:rPr>
      </w:pPr>
      <w:r>
        <w:rPr>
          <w:rFonts w:hint="eastAsia" w:ascii="黑体" w:hAnsi="宋体" w:eastAsia="黑体"/>
          <w:sz w:val="32"/>
          <w:szCs w:val="32"/>
        </w:rPr>
        <w:t>三、项目绩效情况</w:t>
      </w:r>
      <w:r>
        <w:rPr>
          <w:rFonts w:hint="eastAsia" w:ascii="仿宋_GB2312" w:hAnsi="宋体"/>
          <w:sz w:val="32"/>
          <w:szCs w:val="32"/>
          <w:lang w:val="zh-CN"/>
        </w:rPr>
        <w:tab/>
      </w:r>
    </w:p>
    <w:p>
      <w:pPr>
        <w:adjustRightInd w:val="0"/>
        <w:snapToGrid w:val="0"/>
        <w:spacing w:line="600" w:lineRule="exact"/>
        <w:ind w:firstLine="720"/>
        <w:rPr>
          <w:rFonts w:hint="default" w:ascii="仿宋_GB2312" w:hAnsi="仿宋_GB2312" w:eastAsia="仿宋_GB2312" w:cs="仿宋_GB2312"/>
          <w:sz w:val="32"/>
          <w:szCs w:val="32"/>
          <w:lang w:val="en-US" w:eastAsia="zh-CN"/>
        </w:rPr>
      </w:pPr>
      <w:r>
        <w:rPr>
          <w:rFonts w:hint="eastAsia" w:ascii="楷体_GB2312" w:hAnsi="宋体" w:eastAsia="楷体_GB2312"/>
          <w:b/>
          <w:sz w:val="32"/>
          <w:szCs w:val="32"/>
          <w:lang w:val="zh-CN"/>
        </w:rPr>
        <w:t>（一）项目完成情况。</w:t>
      </w:r>
      <w:r>
        <w:rPr>
          <w:rFonts w:hint="eastAsia" w:ascii="仿宋_GB2312" w:hAnsi="仿宋_GB2312" w:eastAsia="仿宋_GB2312" w:cs="仿宋_GB2312"/>
          <w:sz w:val="32"/>
          <w:szCs w:val="32"/>
          <w:lang w:val="en-US" w:eastAsia="zh-CN"/>
        </w:rPr>
        <w:t>办公设备采购已于2019年9月按既定目标绩效完成。</w:t>
      </w:r>
    </w:p>
    <w:p>
      <w:pPr>
        <w:adjustRightInd w:val="0"/>
        <w:snapToGrid w:val="0"/>
        <w:spacing w:line="600" w:lineRule="exact"/>
        <w:ind w:firstLine="720"/>
        <w:rPr>
          <w:rFonts w:hint="default" w:ascii="仿宋_GB2312" w:hAnsi="仿宋_GB2312" w:eastAsia="仿宋_GB2312" w:cs="仿宋_GB2312"/>
          <w:sz w:val="32"/>
          <w:szCs w:val="32"/>
          <w:lang w:val="en-US" w:eastAsia="zh-CN"/>
        </w:rPr>
      </w:pPr>
      <w:r>
        <w:rPr>
          <w:rFonts w:hint="eastAsia" w:ascii="楷体_GB2312" w:hAnsi="宋体" w:eastAsia="楷体_GB2312"/>
          <w:b/>
          <w:sz w:val="32"/>
          <w:szCs w:val="32"/>
          <w:lang w:val="zh-CN"/>
        </w:rPr>
        <w:t>（二）项目效益情况。</w:t>
      </w:r>
      <w:r>
        <w:rPr>
          <w:rFonts w:hint="eastAsia" w:ascii="仿宋_GB2312" w:hAnsi="仿宋_GB2312" w:eastAsia="仿宋_GB2312" w:cs="仿宋_GB2312"/>
          <w:sz w:val="32"/>
          <w:szCs w:val="32"/>
          <w:lang w:val="en-US" w:eastAsia="zh-CN"/>
        </w:rPr>
        <w:t>本次采购满足了单位基本办公需求，提高了工作效率。</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四、问题及建议</w:t>
      </w:r>
    </w:p>
    <w:p>
      <w:pPr>
        <w:adjustRightInd w:val="0"/>
        <w:snapToGrid w:val="0"/>
        <w:spacing w:line="600" w:lineRule="exact"/>
        <w:ind w:firstLine="720"/>
        <w:rPr>
          <w:rFonts w:hint="eastAsia" w:ascii="楷体_GB2312" w:hAnsi="宋体" w:eastAsia="楷体_GB2312"/>
          <w:b/>
          <w:sz w:val="32"/>
          <w:szCs w:val="32"/>
          <w:lang w:val="en-US" w:eastAsia="zh-CN"/>
        </w:rPr>
      </w:pPr>
      <w:r>
        <w:rPr>
          <w:rFonts w:hint="eastAsia" w:ascii="楷体_GB2312" w:hAnsi="宋体" w:eastAsia="楷体_GB2312"/>
          <w:b/>
          <w:sz w:val="32"/>
          <w:szCs w:val="32"/>
          <w:lang w:val="zh-CN"/>
        </w:rPr>
        <w:t>（一）存在的问题。</w:t>
      </w:r>
      <w:r>
        <w:rPr>
          <w:rFonts w:hint="eastAsia" w:ascii="楷体_GB2312" w:hAnsi="宋体" w:eastAsia="楷体_GB2312"/>
          <w:b/>
          <w:sz w:val="32"/>
          <w:szCs w:val="32"/>
          <w:lang w:val="en-US" w:eastAsia="zh-CN"/>
        </w:rPr>
        <w:t>无。</w:t>
      </w:r>
    </w:p>
    <w:p>
      <w:pPr>
        <w:adjustRightInd w:val="0"/>
        <w:snapToGrid w:val="0"/>
        <w:spacing w:line="600" w:lineRule="exact"/>
        <w:ind w:firstLine="720"/>
        <w:rPr>
          <w:rFonts w:hint="eastAsia" w:ascii="仿宋_GB2312" w:hAnsi="宋体" w:eastAsia="楷体_GB2312"/>
          <w:sz w:val="32"/>
          <w:szCs w:val="32"/>
          <w:lang w:val="en-US" w:eastAsia="zh-CN"/>
        </w:rPr>
      </w:pPr>
      <w:r>
        <w:rPr>
          <w:rFonts w:hint="eastAsia" w:ascii="楷体_GB2312" w:hAnsi="宋体" w:eastAsia="楷体_GB2312"/>
          <w:b/>
          <w:sz w:val="32"/>
          <w:szCs w:val="32"/>
          <w:lang w:val="zh-CN"/>
        </w:rPr>
        <w:t>（二）相关建议。</w:t>
      </w:r>
      <w:r>
        <w:rPr>
          <w:rFonts w:hint="eastAsia" w:ascii="楷体_GB2312" w:hAnsi="宋体" w:eastAsia="楷体_GB2312"/>
          <w:b/>
          <w:sz w:val="32"/>
          <w:szCs w:val="32"/>
          <w:lang w:val="en-US" w:eastAsia="zh-CN"/>
        </w:rPr>
        <w:t>无。</w:t>
      </w: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pStyle w:val="31"/>
        <w:spacing w:line="600" w:lineRule="exact"/>
        <w:ind w:firstLine="883"/>
        <w:jc w:val="center"/>
        <w:rPr>
          <w:rFonts w:hint="eastAsia" w:ascii="仿宋_GB2312" w:hAnsi="宋体" w:eastAsia="方正小标宋简体"/>
          <w:color w:val="auto"/>
          <w:kern w:val="2"/>
          <w:sz w:val="32"/>
          <w:szCs w:val="32"/>
          <w:lang w:val="en-US" w:eastAsia="zh-CN"/>
        </w:rPr>
      </w:pPr>
      <w:r>
        <w:rPr>
          <w:rFonts w:hint="eastAsia" w:ascii="方正小标宋简体" w:hAnsi="宋体" w:eastAsia="方正小标宋简体"/>
          <w:sz w:val="44"/>
          <w:szCs w:val="44"/>
        </w:rPr>
        <w:t>项目支出绩效自评报告</w:t>
      </w:r>
      <w:r>
        <w:rPr>
          <w:rFonts w:hint="eastAsia" w:ascii="方正小标宋简体" w:hAnsi="宋体" w:eastAsia="方正小标宋简体"/>
          <w:sz w:val="44"/>
          <w:szCs w:val="44"/>
          <w:lang w:val="en-US" w:eastAsia="zh-CN"/>
        </w:rPr>
        <w:t>五</w:t>
      </w:r>
    </w:p>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（全州13县城乡规划建设和住房保障局视频会议系统设备采购及州到县网络运行维护项目）</w:t>
      </w:r>
    </w:p>
    <w:p>
      <w:pPr>
        <w:pStyle w:val="31"/>
        <w:spacing w:line="600" w:lineRule="exact"/>
        <w:ind w:firstLine="640"/>
        <w:jc w:val="center"/>
        <w:rPr>
          <w:rFonts w:ascii="宋体" w:hAnsi="宋体"/>
          <w:color w:val="auto"/>
          <w:kern w:val="2"/>
          <w:sz w:val="32"/>
          <w:szCs w:val="32"/>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hint="eastAsia" w:ascii="仿宋_GB2312" w:hAnsi="仿宋_GB2312" w:eastAsia="仿宋_GB2312" w:cs="仿宋_GB2312"/>
          <w:sz w:val="32"/>
          <w:szCs w:val="32"/>
          <w:lang w:val="en-US" w:eastAsia="zh-CN"/>
        </w:rPr>
      </w:pPr>
      <w:r>
        <w:rPr>
          <w:rFonts w:hint="eastAsia" w:ascii="楷体_GB2312" w:hAnsi="宋体" w:eastAsia="楷体_GB2312"/>
          <w:b/>
          <w:sz w:val="32"/>
          <w:szCs w:val="32"/>
          <w:lang w:val="zh-CN"/>
        </w:rPr>
        <w:t>（一）项目资金申报及批复情况。</w:t>
      </w:r>
      <w:r>
        <w:rPr>
          <w:rFonts w:hint="eastAsia" w:ascii="仿宋_GB2312" w:hAnsi="仿宋_GB2312" w:eastAsia="仿宋_GB2312" w:cs="仿宋_GB2312"/>
          <w:sz w:val="32"/>
          <w:szCs w:val="32"/>
          <w:lang w:val="en-US" w:eastAsia="zh-CN"/>
        </w:rPr>
        <w:t>该项目预算金额为26万元，实际批复金额为26万元。</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楷体_GB2312" w:hAnsi="宋体" w:eastAsia="楷体_GB2312"/>
          <w:b/>
          <w:sz w:val="32"/>
          <w:szCs w:val="32"/>
          <w:lang w:val="zh-CN"/>
        </w:rPr>
        <w:t>（二）项目绩效目标。</w:t>
      </w:r>
      <w:r>
        <w:rPr>
          <w:rFonts w:hint="eastAsia" w:ascii="仿宋_GB2312" w:hAnsi="仿宋_GB2312" w:eastAsia="仿宋_GB2312" w:cs="仿宋_GB2312"/>
          <w:sz w:val="32"/>
          <w:szCs w:val="32"/>
          <w:lang w:val="en-US" w:eastAsia="zh-CN"/>
        </w:rPr>
        <w:t>该项目的年度绩效目标是采购13县城乡建设住房局视频会议系统设备及州到县网络运行维护费，节约会议成本，高效推进全州城乡建设事业发展。</w:t>
      </w:r>
    </w:p>
    <w:p>
      <w:pPr>
        <w:adjustRightInd w:val="0"/>
        <w:snapToGrid w:val="0"/>
        <w:spacing w:line="600" w:lineRule="exact"/>
        <w:ind w:firstLine="720"/>
        <w:rPr>
          <w:rFonts w:hint="default" w:ascii="仿宋_GB2312" w:hAnsi="仿宋_GB2312" w:eastAsia="仿宋_GB2312" w:cs="仿宋_GB2312"/>
          <w:sz w:val="32"/>
          <w:szCs w:val="32"/>
          <w:lang w:val="en-US" w:eastAsia="zh-CN"/>
        </w:rPr>
      </w:pPr>
      <w:r>
        <w:rPr>
          <w:rFonts w:hint="eastAsia" w:ascii="楷体_GB2312" w:hAnsi="宋体" w:eastAsia="楷体_GB2312"/>
          <w:b/>
          <w:sz w:val="32"/>
          <w:szCs w:val="32"/>
          <w:lang w:val="zh-CN"/>
        </w:rPr>
        <w:t>（三）项目资金申报相符性。</w:t>
      </w:r>
      <w:r>
        <w:rPr>
          <w:rFonts w:hint="eastAsia" w:ascii="仿宋_GB2312" w:hAnsi="仿宋_GB2312" w:eastAsia="仿宋_GB2312" w:cs="仿宋_GB2312"/>
          <w:sz w:val="32"/>
          <w:szCs w:val="32"/>
          <w:lang w:val="en-US" w:eastAsia="zh-CN"/>
        </w:rPr>
        <w:t>该项目通过第三方价格需求论证，故项目资金与项目申报相符。</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sz w:val="32"/>
          <w:szCs w:val="32"/>
          <w:lang w:val="zh-CN"/>
        </w:rPr>
        <w:tab/>
      </w:r>
      <w:r>
        <w:rPr>
          <w:rFonts w:hint="eastAsia" w:ascii="楷体_GB2312" w:hAnsi="宋体" w:eastAsia="楷体_GB2312"/>
          <w:b/>
          <w:sz w:val="32"/>
          <w:szCs w:val="32"/>
          <w:lang w:val="zh-CN"/>
        </w:rPr>
        <w:t>（一）资金计划、到位及使用情况。</w:t>
      </w:r>
    </w:p>
    <w:p>
      <w:pPr>
        <w:adjustRightInd w:val="0"/>
        <w:snapToGrid w:val="0"/>
        <w:spacing w:line="600" w:lineRule="exact"/>
        <w:ind w:firstLine="72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1．资金计划及到位。该项目</w:t>
      </w:r>
      <w:r>
        <w:rPr>
          <w:rFonts w:hint="eastAsia" w:ascii="仿宋_GB2312" w:hAnsi="仿宋_GB2312" w:eastAsia="仿宋_GB2312" w:cs="仿宋_GB2312"/>
          <w:sz w:val="32"/>
          <w:szCs w:val="32"/>
          <w:lang w:val="en-US" w:eastAsia="zh-CN"/>
        </w:rPr>
        <w:t>资金通过年初预算下达至单位大平台。</w:t>
      </w:r>
    </w:p>
    <w:p>
      <w:pPr>
        <w:adjustRightInd w:val="0"/>
        <w:snapToGrid w:val="0"/>
        <w:spacing w:line="600" w:lineRule="exact"/>
        <w:ind w:firstLine="72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2．资金使用。</w:t>
      </w:r>
      <w:r>
        <w:rPr>
          <w:rFonts w:hint="eastAsia" w:ascii="仿宋_GB2312" w:hAnsi="仿宋_GB2312" w:eastAsia="仿宋_GB2312" w:cs="仿宋_GB2312"/>
          <w:sz w:val="32"/>
          <w:szCs w:val="32"/>
          <w:lang w:val="en-US" w:eastAsia="zh-CN"/>
        </w:rPr>
        <w:t>该项目已于2019年11月完成，并通过财政直接支付的方式支付了全部项目合同款，项目完成率与资金支付率均达到100%。</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（二）项目财务管理情况。</w:t>
      </w:r>
    </w:p>
    <w:p>
      <w:pPr>
        <w:adjustRightInd w:val="0"/>
        <w:snapToGrid w:val="0"/>
        <w:spacing w:line="600" w:lineRule="exact"/>
        <w:ind w:firstLine="72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该项目经费是财政下达的项目资金，我局严格按照州财政局项目资金管理办法通过财政直接支付方式进行管理，资金支付进度和方式严格按照合同进行，</w:t>
      </w:r>
      <w:r>
        <w:rPr>
          <w:rFonts w:hint="eastAsia" w:ascii="仿宋_GB2312" w:hAnsi="仿宋_GB2312" w:eastAsia="仿宋_GB2312" w:cs="仿宋_GB2312"/>
          <w:sz w:val="32"/>
          <w:szCs w:val="32"/>
          <w:lang w:val="zh-CN" w:eastAsia="zh-CN"/>
        </w:rPr>
        <w:t>严格</w:t>
      </w:r>
      <w:r>
        <w:rPr>
          <w:rFonts w:hint="eastAsia" w:ascii="仿宋_GB2312" w:hAnsi="仿宋_GB2312" w:eastAsia="仿宋_GB2312" w:cs="仿宋_GB2312"/>
          <w:sz w:val="32"/>
          <w:szCs w:val="32"/>
          <w:lang w:val="en-US" w:eastAsia="zh-CN"/>
        </w:rPr>
        <w:t>遵守各项财务管理制度，</w:t>
      </w:r>
      <w:r>
        <w:rPr>
          <w:rFonts w:hint="eastAsia" w:ascii="仿宋_GB2312" w:hAnsi="仿宋_GB2312" w:eastAsia="仿宋_GB2312" w:cs="仿宋_GB2312"/>
          <w:sz w:val="32"/>
          <w:szCs w:val="32"/>
          <w:lang w:val="zh-CN" w:eastAsia="zh-CN"/>
        </w:rPr>
        <w:t>及时进行了财务处理、会计核算规范。</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（三）项目组织实施情况。</w:t>
      </w:r>
    </w:p>
    <w:p>
      <w:pPr>
        <w:adjustRightInd w:val="0"/>
        <w:snapToGrid w:val="0"/>
        <w:spacing w:line="600" w:lineRule="exact"/>
        <w:ind w:firstLine="72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通过年初采购备案，并经采购备案管理部门批准，单位经内控程序进行竞争性磋商，经过采购小组评审，在三家供应商中，选择了中标单位。采购过程合规合法。项目实施过程中，单位监督贯穿全过程，确保项目实现预定效益。</w:t>
      </w:r>
    </w:p>
    <w:p>
      <w:pPr>
        <w:adjustRightInd w:val="0"/>
        <w:snapToGrid w:val="0"/>
        <w:spacing w:line="600" w:lineRule="exact"/>
        <w:ind w:firstLine="720"/>
        <w:rPr>
          <w:rFonts w:ascii="仿宋_GB2312" w:hAnsi="宋体"/>
          <w:sz w:val="32"/>
          <w:szCs w:val="32"/>
          <w:lang w:val="zh-CN"/>
        </w:rPr>
      </w:pPr>
      <w:r>
        <w:rPr>
          <w:rFonts w:hint="eastAsia" w:ascii="黑体" w:hAnsi="宋体" w:eastAsia="黑体"/>
          <w:sz w:val="32"/>
          <w:szCs w:val="32"/>
        </w:rPr>
        <w:t>三、项目绩效情况</w:t>
      </w:r>
      <w:r>
        <w:rPr>
          <w:rFonts w:hint="eastAsia" w:ascii="仿宋_GB2312" w:hAnsi="宋体"/>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hint="default" w:ascii="楷体_GB2312" w:hAnsi="宋体" w:eastAsia="楷体_GB2312"/>
          <w:b/>
          <w:sz w:val="32"/>
          <w:szCs w:val="32"/>
          <w:lang w:val="en-US"/>
        </w:rPr>
      </w:pPr>
      <w:r>
        <w:rPr>
          <w:rFonts w:hint="eastAsia" w:ascii="仿宋_GB2312" w:hAnsi="仿宋_GB2312" w:eastAsia="仿宋_GB2312" w:cs="仿宋_GB2312"/>
          <w:sz w:val="32"/>
          <w:szCs w:val="32"/>
          <w:lang w:val="en-US" w:eastAsia="zh-CN"/>
        </w:rPr>
        <w:t>截止2019年11月，全州13县、市住建局均全部完成视频会议系统及专线安装维护，全州住建系统视频会议能正常开展，项目通过验收。</w:t>
      </w:r>
    </w:p>
    <w:p>
      <w:pPr>
        <w:adjustRightInd w:val="0"/>
        <w:snapToGrid w:val="0"/>
        <w:spacing w:line="600" w:lineRule="exact"/>
        <w:ind w:firstLine="720"/>
        <w:rPr>
          <w:rFonts w:hint="default" w:ascii="仿宋_GB2312" w:hAnsi="仿宋_GB2312" w:eastAsia="仿宋_GB2312" w:cs="仿宋_GB2312"/>
          <w:sz w:val="32"/>
          <w:szCs w:val="32"/>
          <w:lang w:val="en-US" w:eastAsia="zh-CN"/>
        </w:rPr>
      </w:pPr>
      <w:r>
        <w:rPr>
          <w:rFonts w:hint="eastAsia" w:ascii="楷体_GB2312" w:hAnsi="宋体" w:eastAsia="楷体_GB2312"/>
          <w:b/>
          <w:sz w:val="32"/>
          <w:szCs w:val="32"/>
          <w:lang w:val="zh-CN"/>
        </w:rPr>
        <w:t>（二）项目效益情况。</w:t>
      </w:r>
      <w:r>
        <w:rPr>
          <w:rFonts w:hint="eastAsia" w:ascii="仿宋_GB2312" w:hAnsi="仿宋_GB2312" w:eastAsia="仿宋_GB2312" w:cs="仿宋_GB2312"/>
          <w:sz w:val="32"/>
          <w:szCs w:val="32"/>
          <w:lang w:val="en-US" w:eastAsia="zh-CN"/>
        </w:rPr>
        <w:t>该项目的完成提升了全州住建系统的工作效率，从公用经费的开支来说，节约了会议费开支。</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四、问题及建议</w:t>
      </w:r>
    </w:p>
    <w:p>
      <w:pPr>
        <w:adjustRightInd w:val="0"/>
        <w:snapToGrid w:val="0"/>
        <w:spacing w:line="600" w:lineRule="exact"/>
        <w:ind w:firstLine="720"/>
        <w:rPr>
          <w:rFonts w:hint="eastAsia" w:ascii="楷体_GB2312" w:hAnsi="宋体" w:eastAsia="楷体_GB2312"/>
          <w:b/>
          <w:sz w:val="32"/>
          <w:szCs w:val="32"/>
          <w:lang w:val="en-US" w:eastAsia="zh-CN"/>
        </w:rPr>
      </w:pPr>
      <w:r>
        <w:rPr>
          <w:rFonts w:hint="eastAsia" w:ascii="楷体_GB2312" w:hAnsi="宋体" w:eastAsia="楷体_GB2312"/>
          <w:b/>
          <w:sz w:val="32"/>
          <w:szCs w:val="32"/>
          <w:lang w:val="zh-CN"/>
        </w:rPr>
        <w:t>（一）存在的问题。</w:t>
      </w:r>
      <w:r>
        <w:rPr>
          <w:rFonts w:hint="eastAsia" w:ascii="楷体_GB2312" w:hAnsi="宋体" w:eastAsia="楷体_GB2312"/>
          <w:b/>
          <w:sz w:val="32"/>
          <w:szCs w:val="32"/>
          <w:lang w:val="en-US" w:eastAsia="zh-CN"/>
        </w:rPr>
        <w:t>无。</w:t>
      </w:r>
    </w:p>
    <w:p>
      <w:pPr>
        <w:adjustRightInd w:val="0"/>
        <w:snapToGrid w:val="0"/>
        <w:spacing w:line="600" w:lineRule="exact"/>
        <w:ind w:firstLine="720"/>
        <w:rPr>
          <w:rFonts w:hint="eastAsia" w:ascii="仿宋_GB2312" w:hAnsi="宋体" w:eastAsia="楷体_GB2312"/>
          <w:sz w:val="32"/>
          <w:szCs w:val="32"/>
          <w:lang w:val="en-US" w:eastAsia="zh-CN"/>
        </w:rPr>
      </w:pPr>
      <w:r>
        <w:rPr>
          <w:rFonts w:hint="eastAsia" w:ascii="楷体_GB2312" w:hAnsi="宋体" w:eastAsia="楷体_GB2312"/>
          <w:b/>
          <w:sz w:val="32"/>
          <w:szCs w:val="32"/>
          <w:lang w:val="zh-CN"/>
        </w:rPr>
        <w:t>（二）相关建议。</w:t>
      </w:r>
      <w:r>
        <w:rPr>
          <w:rFonts w:hint="eastAsia" w:ascii="楷体_GB2312" w:hAnsi="宋体" w:eastAsia="楷体_GB2312"/>
          <w:b/>
          <w:sz w:val="32"/>
          <w:szCs w:val="32"/>
          <w:lang w:val="en-US" w:eastAsia="zh-CN"/>
        </w:rPr>
        <w:t>无。</w:t>
      </w:r>
    </w:p>
    <w:p>
      <w:pPr>
        <w:rPr>
          <w:sz w:val="32"/>
          <w:szCs w:val="32"/>
        </w:rPr>
      </w:pPr>
    </w:p>
    <w:p>
      <w:pPr>
        <w:widowControl/>
        <w:jc w:val="left"/>
        <w:rPr>
          <w:rStyle w:val="24"/>
          <w:rFonts w:ascii="黑体" w:hAnsi="黑体" w:eastAsia="黑体"/>
          <w:b w:val="0"/>
        </w:rPr>
      </w:pPr>
    </w:p>
    <w:p>
      <w:pPr>
        <w:widowControl/>
        <w:jc w:val="left"/>
        <w:rPr>
          <w:rStyle w:val="24"/>
          <w:rFonts w:ascii="黑体" w:hAnsi="黑体" w:eastAsia="黑体"/>
          <w:b w:val="0"/>
        </w:rPr>
      </w:pPr>
    </w:p>
    <w:p>
      <w:pPr>
        <w:widowControl/>
        <w:jc w:val="left"/>
        <w:rPr>
          <w:rStyle w:val="24"/>
          <w:rFonts w:ascii="黑体" w:hAnsi="黑体" w:eastAsia="黑体"/>
          <w:b w:val="0"/>
        </w:rPr>
      </w:pPr>
    </w:p>
    <w:p>
      <w:pPr>
        <w:spacing w:line="600" w:lineRule="exact"/>
        <w:jc w:val="center"/>
        <w:outlineLvl w:val="9"/>
        <w:rPr>
          <w:rFonts w:hint="eastAsia" w:ascii="黑体" w:hAnsi="黑体" w:eastAsia="黑体"/>
          <w:color w:val="000000"/>
          <w:sz w:val="44"/>
          <w:szCs w:val="44"/>
        </w:rPr>
      </w:pPr>
      <w:bookmarkStart w:id="82" w:name="_Toc15396618"/>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center"/>
        <w:outlineLvl w:val="0"/>
        <w:rPr>
          <w:rStyle w:val="24"/>
          <w:rFonts w:ascii="黑体" w:hAnsi="黑体" w:eastAsia="黑体"/>
          <w:b w:val="0"/>
        </w:rPr>
      </w:pPr>
      <w:bookmarkStart w:id="83" w:name="_Toc14172"/>
      <w:r>
        <w:rPr>
          <w:rFonts w:hint="eastAsia" w:ascii="黑体" w:hAnsi="黑体" w:eastAsia="黑体"/>
          <w:color w:val="000000"/>
          <w:sz w:val="44"/>
          <w:szCs w:val="44"/>
        </w:rPr>
        <w:t>第</w:t>
      </w:r>
      <w:r>
        <w:rPr>
          <w:rStyle w:val="24"/>
          <w:rFonts w:hint="eastAsia" w:ascii="黑体" w:hAnsi="黑体" w:eastAsia="黑体"/>
          <w:b w:val="0"/>
        </w:rPr>
        <w:t>五部分 附表</w:t>
      </w:r>
      <w:bookmarkEnd w:id="78"/>
      <w:bookmarkEnd w:id="82"/>
      <w:bookmarkEnd w:id="83"/>
      <w:bookmarkStart w:id="110" w:name="_GoBack"/>
      <w:bookmarkEnd w:id="110"/>
    </w:p>
    <w:p>
      <w:pPr>
        <w:spacing w:line="600" w:lineRule="exact"/>
        <w:jc w:val="center"/>
        <w:outlineLvl w:val="9"/>
        <w:rPr>
          <w:rFonts w:ascii="仿宋" w:hAnsi="仿宋" w:eastAsia="仿宋"/>
          <w:b/>
          <w:color w:val="000000"/>
          <w:sz w:val="44"/>
          <w:szCs w:val="44"/>
        </w:rPr>
      </w:pPr>
    </w:p>
    <w:p>
      <w:pPr>
        <w:pStyle w:val="3"/>
        <w:rPr>
          <w:rFonts w:ascii="仿宋" w:hAnsi="仿宋" w:eastAsia="仿宋"/>
          <w:color w:val="000000"/>
        </w:rPr>
      </w:pPr>
      <w:bookmarkStart w:id="84" w:name="_Toc7641"/>
      <w:bookmarkStart w:id="85"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84"/>
      <w:bookmarkEnd w:id="85"/>
    </w:p>
    <w:p>
      <w:pPr>
        <w:pStyle w:val="3"/>
        <w:rPr>
          <w:rFonts w:ascii="仿宋" w:hAnsi="仿宋" w:eastAsia="仿宋"/>
          <w:color w:val="000000"/>
        </w:rPr>
      </w:pPr>
      <w:bookmarkStart w:id="86" w:name="_Toc27331"/>
      <w:bookmarkStart w:id="87"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86"/>
      <w:bookmarkEnd w:id="87"/>
    </w:p>
    <w:p>
      <w:pPr>
        <w:pStyle w:val="3"/>
        <w:rPr>
          <w:rFonts w:ascii="仿宋" w:hAnsi="仿宋" w:eastAsia="仿宋"/>
          <w:color w:val="000000"/>
        </w:rPr>
      </w:pPr>
      <w:bookmarkStart w:id="88" w:name="_Toc15396621"/>
      <w:bookmarkStart w:id="89" w:name="_Toc26834"/>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88"/>
      <w:bookmarkEnd w:id="89"/>
    </w:p>
    <w:p>
      <w:pPr>
        <w:pStyle w:val="3"/>
        <w:rPr>
          <w:rFonts w:ascii="仿宋" w:hAnsi="仿宋" w:eastAsia="仿宋"/>
          <w:b w:val="0"/>
          <w:color w:val="000000"/>
        </w:rPr>
      </w:pPr>
      <w:bookmarkStart w:id="90" w:name="_Toc15396622"/>
      <w:bookmarkStart w:id="91" w:name="_Toc20077"/>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90"/>
      <w:bookmarkEnd w:id="91"/>
    </w:p>
    <w:p>
      <w:pPr>
        <w:pStyle w:val="3"/>
        <w:rPr>
          <w:rStyle w:val="25"/>
          <w:rFonts w:ascii="仿宋" w:hAnsi="仿宋" w:eastAsia="仿宋"/>
          <w:b w:val="0"/>
          <w:bCs w:val="0"/>
        </w:rPr>
      </w:pPr>
      <w:bookmarkStart w:id="92" w:name="_Toc5049"/>
      <w:bookmarkStart w:id="93"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92"/>
      <w:bookmarkEnd w:id="93"/>
      <w:bookmarkStart w:id="94" w:name="_Toc15396624"/>
    </w:p>
    <w:p>
      <w:pPr>
        <w:pStyle w:val="3"/>
        <w:rPr>
          <w:rFonts w:ascii="仿宋" w:hAnsi="仿宋" w:eastAsia="仿宋"/>
          <w:color w:val="000000"/>
        </w:rPr>
      </w:pPr>
      <w:bookmarkStart w:id="95" w:name="_Toc24880"/>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94"/>
      <w:bookmarkEnd w:id="95"/>
    </w:p>
    <w:p>
      <w:pPr>
        <w:pStyle w:val="3"/>
        <w:rPr>
          <w:rFonts w:ascii="仿宋" w:hAnsi="仿宋" w:eastAsia="仿宋"/>
          <w:color w:val="000000"/>
        </w:rPr>
      </w:pPr>
      <w:bookmarkStart w:id="96" w:name="_Toc25001"/>
      <w:bookmarkStart w:id="97"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96"/>
      <w:bookmarkEnd w:id="97"/>
    </w:p>
    <w:p>
      <w:pPr>
        <w:pStyle w:val="3"/>
        <w:rPr>
          <w:rFonts w:ascii="仿宋" w:hAnsi="仿宋" w:eastAsia="仿宋"/>
          <w:color w:val="000000"/>
        </w:rPr>
      </w:pPr>
      <w:bookmarkStart w:id="98" w:name="_Toc15396626"/>
      <w:bookmarkStart w:id="99" w:name="_Toc891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98"/>
      <w:bookmarkEnd w:id="99"/>
    </w:p>
    <w:p>
      <w:pPr>
        <w:pStyle w:val="3"/>
        <w:rPr>
          <w:rFonts w:ascii="仿宋" w:hAnsi="仿宋" w:eastAsia="仿宋"/>
          <w:color w:val="000000"/>
        </w:rPr>
      </w:pPr>
      <w:bookmarkStart w:id="100" w:name="_Toc24574"/>
      <w:bookmarkStart w:id="101"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100"/>
      <w:bookmarkEnd w:id="101"/>
    </w:p>
    <w:p>
      <w:pPr>
        <w:pStyle w:val="3"/>
        <w:rPr>
          <w:rFonts w:ascii="仿宋" w:hAnsi="仿宋" w:eastAsia="仿宋"/>
          <w:color w:val="000000"/>
        </w:rPr>
      </w:pPr>
      <w:bookmarkStart w:id="102" w:name="_Toc3377"/>
      <w:bookmarkStart w:id="103"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102"/>
      <w:bookmarkEnd w:id="103"/>
    </w:p>
    <w:p>
      <w:pPr>
        <w:pStyle w:val="3"/>
        <w:rPr>
          <w:rFonts w:ascii="仿宋" w:hAnsi="仿宋" w:eastAsia="仿宋"/>
          <w:color w:val="000000"/>
        </w:rPr>
      </w:pPr>
      <w:bookmarkStart w:id="104" w:name="_Toc15396629"/>
      <w:bookmarkStart w:id="105" w:name="_Toc2545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104"/>
      <w:bookmarkEnd w:id="105"/>
    </w:p>
    <w:p>
      <w:pPr>
        <w:pStyle w:val="3"/>
        <w:rPr>
          <w:rFonts w:ascii="仿宋" w:hAnsi="仿宋" w:eastAsia="仿宋"/>
          <w:color w:val="000000"/>
        </w:rPr>
      </w:pPr>
      <w:bookmarkStart w:id="106" w:name="_Toc15396630"/>
      <w:bookmarkStart w:id="107" w:name="_Toc25423"/>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106"/>
      <w:bookmarkEnd w:id="107"/>
    </w:p>
    <w:p>
      <w:pPr>
        <w:pStyle w:val="3"/>
        <w:rPr>
          <w:rFonts w:ascii="仿宋" w:hAnsi="仿宋" w:eastAsia="仿宋"/>
          <w:color w:val="000000" w:themeColor="text1"/>
          <w14:textFill>
            <w14:solidFill>
              <w14:schemeClr w14:val="tx1"/>
            </w14:solidFill>
          </w14:textFill>
        </w:rPr>
      </w:pPr>
      <w:bookmarkStart w:id="108" w:name="_Toc15396631"/>
      <w:bookmarkStart w:id="109" w:name="_Toc18239"/>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108"/>
      <w:bookmarkEnd w:id="109"/>
    </w:p>
    <w:sectPr>
      <w:footerReference r:id="rId10" w:type="first"/>
      <w:footerReference r:id="rId9" w:type="defaul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MS PGothic">
    <w:panose1 w:val="020B0600070205080204"/>
    <w:charset w:val="80"/>
    <w:family w:val="swiss"/>
    <w:pitch w:val="default"/>
    <w:sig w:usb0="E00002FF" w:usb1="6AC7FDFB" w:usb2="08000012" w:usb3="00000000" w:csb0="4002009F" w:csb1="DFD70000"/>
  </w:font>
  <w:font w:name="Dotum">
    <w:altName w:val="Malgun Gothic"/>
    <w:panose1 w:val="020B0600000101010101"/>
    <w:charset w:val="81"/>
    <w:family w:val="swiss"/>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宋体"/>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FEB7EB"/>
    <w:multiLevelType w:val="singleLevel"/>
    <w:tmpl w:val="B7FEB7EB"/>
    <w:lvl w:ilvl="0" w:tentative="0">
      <w:start w:val="3"/>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B10312"/>
    <w:rsid w:val="0C881A2E"/>
    <w:rsid w:val="0E6A5CD1"/>
    <w:rsid w:val="0F2630DE"/>
    <w:rsid w:val="0FC40319"/>
    <w:rsid w:val="10C055FF"/>
    <w:rsid w:val="16BB723D"/>
    <w:rsid w:val="22A00F5C"/>
    <w:rsid w:val="240371BF"/>
    <w:rsid w:val="286C6181"/>
    <w:rsid w:val="29FD04D3"/>
    <w:rsid w:val="2C0F59A0"/>
    <w:rsid w:val="319F7F4E"/>
    <w:rsid w:val="3C720F65"/>
    <w:rsid w:val="404A460F"/>
    <w:rsid w:val="49584E15"/>
    <w:rsid w:val="4A032FF2"/>
    <w:rsid w:val="4AA770D1"/>
    <w:rsid w:val="4ECE2238"/>
    <w:rsid w:val="50C76582"/>
    <w:rsid w:val="53255B72"/>
    <w:rsid w:val="532E79A1"/>
    <w:rsid w:val="5ACE6B48"/>
    <w:rsid w:val="6D863AA1"/>
    <w:rsid w:val="6E853628"/>
    <w:rsid w:val="6F7F7BAD"/>
    <w:rsid w:val="7187086D"/>
    <w:rsid w:val="72494A31"/>
    <w:rsid w:val="72734D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2"/>
    <w:qFormat/>
    <w:uiPriority w:val="9"/>
    <w:rPr>
      <w:rFonts w:ascii="Times New Roman" w:hAnsi="Times New Roman"/>
      <w:b/>
      <w:bCs/>
      <w:kern w:val="44"/>
      <w:sz w:val="44"/>
      <w:szCs w:val="44"/>
    </w:rPr>
  </w:style>
  <w:style w:type="character" w:customStyle="1" w:styleId="25">
    <w:name w:val="标题 2 字符"/>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默认段落字体1"/>
    <w:qFormat/>
    <w:uiPriority w:val="99"/>
    <w:rPr>
      <w:sz w:val="22"/>
    </w:rPr>
  </w:style>
  <w:style w:type="paragraph" w:customStyle="1" w:styleId="31">
    <w:name w:val="四号正文"/>
    <w:basedOn w:val="1"/>
    <w:qFormat/>
    <w:uiPriority w:val="0"/>
    <w:pPr>
      <w:spacing w:line="360" w:lineRule="auto"/>
    </w:pPr>
    <w:rPr>
      <w:rFonts w:ascii="??" w:hAnsi="??" w:eastAsia="宋体"/>
      <w:color w:val="000000"/>
      <w:kern w:val="0"/>
      <w:sz w:val="28"/>
      <w:szCs w:val="21"/>
      <w:lang w:val="zh-CN"/>
    </w:rPr>
  </w:style>
  <w:style w:type="paragraph" w:customStyle="1" w:styleId="32">
    <w:name w:val="WPSOffice手动目录 1"/>
    <w:qFormat/>
    <w:uiPriority w:val="0"/>
    <w:pPr>
      <w:ind w:leftChars="0"/>
    </w:pPr>
    <w:rPr>
      <w:rFonts w:asciiTheme="minorHAnsi" w:hAnsiTheme="minorHAnsi" w:eastAsiaTheme="minorEastAsia" w:cstheme="minorBidi"/>
      <w:sz w:val="20"/>
      <w:szCs w:val="20"/>
    </w:rPr>
  </w:style>
  <w:style w:type="paragraph" w:customStyle="1" w:styleId="33">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7.xml"/><Relationship Id="rId17" Type="http://schemas.openxmlformats.org/officeDocument/2006/relationships/chart" Target="charts/chart6.xml"/><Relationship Id="rId16" Type="http://schemas.openxmlformats.org/officeDocument/2006/relationships/chart" Target="charts/chart5.xml"/><Relationship Id="rId15" Type="http://schemas.openxmlformats.org/officeDocument/2006/relationships/chart" Target="charts/chart4.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delete val="1"/>
          </c:dLbls>
          <c:cat>
            <c:strRef>
              <c:f>Sheet1!$A$2</c:f>
              <c:strCache>
                <c:ptCount val="1"/>
                <c:pt idx="0">
                  <c:v>收、支总计</c:v>
                </c:pt>
              </c:strCache>
            </c:strRef>
          </c:cat>
          <c:val>
            <c:numRef>
              <c:f>Sheet1!$B$2</c:f>
              <c:numCache>
                <c:formatCode>General</c:formatCode>
                <c:ptCount val="1"/>
                <c:pt idx="0">
                  <c:v>1214.12</c:v>
                </c:pt>
              </c:numCache>
            </c:numRef>
          </c:val>
        </c:ser>
        <c:ser>
          <c:idx val="1"/>
          <c:order val="1"/>
          <c:tx>
            <c:strRef>
              <c:f>Sheet1!$C$1</c:f>
              <c:strCache>
                <c:ptCount val="1"/>
                <c:pt idx="0">
                  <c:v>2019年</c:v>
                </c:pt>
              </c:strCache>
            </c:strRef>
          </c:tx>
          <c:spPr>
            <a:solidFill>
              <a:schemeClr val="accent2"/>
            </a:solidFill>
            <a:ln>
              <a:noFill/>
            </a:ln>
            <a:effectLst/>
          </c:spPr>
          <c:invertIfNegative val="0"/>
          <c:dLbls>
            <c:delete val="1"/>
          </c:dLbls>
          <c:cat>
            <c:strRef>
              <c:f>Sheet1!$A$2</c:f>
              <c:strCache>
                <c:ptCount val="1"/>
                <c:pt idx="0">
                  <c:v>收、支总计</c:v>
                </c:pt>
              </c:strCache>
            </c:strRef>
          </c:cat>
          <c:val>
            <c:numRef>
              <c:f>Sheet1!$C$2</c:f>
              <c:numCache>
                <c:formatCode>General</c:formatCode>
                <c:ptCount val="1"/>
                <c:pt idx="0">
                  <c:v>1444.2</c:v>
                </c:pt>
              </c:numCache>
            </c:numRef>
          </c:val>
        </c:ser>
        <c:dLbls>
          <c:showLegendKey val="0"/>
          <c:showVal val="0"/>
          <c:showCatName val="0"/>
          <c:showSerName val="0"/>
          <c:showPercent val="0"/>
          <c:showBubbleSize val="0"/>
        </c:dLbls>
        <c:gapWidth val="219"/>
        <c:overlap val="-27"/>
        <c:axId val="383021142"/>
        <c:axId val="400144998"/>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c15:sqref>
                        </c15:formulaRef>
                      </c:ext>
                    </c:extLst>
                    <c:strCache>
                      <c:ptCount val="1"/>
                      <c:pt idx="0">
                        <c:v>收、支总计</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38302114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0144998"/>
        <c:crosses val="autoZero"/>
        <c:auto val="1"/>
        <c:lblAlgn val="ctr"/>
        <c:lblOffset val="100"/>
        <c:noMultiLvlLbl val="0"/>
      </c:catAx>
      <c:valAx>
        <c:axId val="40014499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302114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289017341041"/>
          <c:y val="0.116564417177914"/>
          <c:w val="0.367052023121387"/>
          <c:h val="0.779141104294479"/>
        </c:manualLayout>
      </c:layout>
      <c:pieChart>
        <c:varyColors val="1"/>
        <c:ser>
          <c:idx val="0"/>
          <c:order val="0"/>
          <c:tx>
            <c:strRef>
              <c:f>Sheet1!$A$2</c:f>
              <c:strCache>
                <c:ptCount val="1"/>
                <c:pt idx="0">
                  <c:v/>
                </c:pt>
              </c:strCache>
            </c:strRef>
          </c:tx>
          <c:spPr>
            <a:solidFill>
              <a:srgbClr val="9999FF"/>
            </a:solidFill>
            <a:ln w="12629">
              <a:solidFill>
                <a:srgbClr val="000000"/>
              </a:solidFill>
              <a:prstDash val="solid"/>
            </a:ln>
          </c:spPr>
          <c:explosion val="0"/>
          <c:dPt>
            <c:idx val="0"/>
            <c:bubble3D val="0"/>
            <c:spPr>
              <a:solidFill>
                <a:srgbClr val="9999FF"/>
              </a:solidFill>
              <a:ln w="12629">
                <a:solidFill>
                  <a:srgbClr val="000000"/>
                </a:solidFill>
                <a:prstDash val="solid"/>
              </a:ln>
            </c:spPr>
          </c:dPt>
          <c:dLbls>
            <c:delete val="1"/>
          </c:dLbls>
          <c:cat>
            <c:strRef>
              <c:f>Sheet1!$B$1</c:f>
              <c:strCache>
                <c:ptCount val="1"/>
                <c:pt idx="0">
                  <c:v>一般公共预算财政拨款收入</c:v>
                </c:pt>
              </c:strCache>
            </c:strRef>
          </c:cat>
          <c:val>
            <c:numRef>
              <c:f>Sheet1!$B$2</c:f>
              <c:numCache>
                <c:formatCode>0.00%</c:formatCode>
                <c:ptCount val="1"/>
                <c:pt idx="0">
                  <c:v>1</c:v>
                </c:pt>
              </c:numCache>
            </c:numRef>
          </c:val>
        </c:ser>
        <c:ser>
          <c:idx val="1"/>
          <c:order val="1"/>
          <c:tx>
            <c:strRef>
              <c:f>Sheet1!$A$3</c:f>
              <c:strCache>
                <c:ptCount val="1"/>
                <c:pt idx="0">
                  <c:v/>
                </c:pt>
              </c:strCache>
            </c:strRef>
          </c:tx>
          <c:spPr>
            <a:solidFill>
              <a:srgbClr val="993366"/>
            </a:solidFill>
            <a:ln w="12629">
              <a:solidFill>
                <a:srgbClr val="000000"/>
              </a:solidFill>
              <a:prstDash val="solid"/>
            </a:ln>
          </c:spPr>
          <c:explosion val="0"/>
          <c:dPt>
            <c:idx val="0"/>
            <c:bubble3D val="0"/>
            <c:spPr>
              <a:solidFill>
                <a:srgbClr val="9999FF"/>
              </a:solidFill>
              <a:ln w="12629">
                <a:solidFill>
                  <a:srgbClr val="000000"/>
                </a:solidFill>
                <a:prstDash val="solid"/>
              </a:ln>
            </c:spPr>
          </c:dPt>
          <c:dLbls>
            <c:delete val="1"/>
          </c:dLbls>
          <c:cat>
            <c:strRef>
              <c:f>Sheet1!$B$1</c:f>
              <c:strCache>
                <c:ptCount val="1"/>
                <c:pt idx="0">
                  <c:v>一般公共预算财政拨款收入</c:v>
                </c:pt>
              </c:strCache>
            </c:strRef>
          </c:cat>
          <c:val>
            <c:numRef>
              <c:f>Sheet1!$B$3</c:f>
              <c:numCache>
                <c:formatCode>General</c:formatCode>
                <c:ptCount val="1"/>
              </c:numCache>
            </c:numRef>
          </c:val>
        </c:ser>
        <c:dLbls>
          <c:showLegendKey val="0"/>
          <c:showVal val="0"/>
          <c:showCatName val="0"/>
          <c:showSerName val="0"/>
          <c:showPercent val="0"/>
          <c:showBubbleSize val="0"/>
          <c:showLeaderLines val="1"/>
        </c:dLbls>
        <c:firstSliceAng val="0"/>
      </c:pieChart>
      <c:spPr>
        <a:solidFill>
          <a:srgbClr val="C0C0C0"/>
        </a:solidFill>
        <a:ln w="12629">
          <a:solidFill>
            <a:srgbClr val="808080"/>
          </a:solidFill>
          <a:prstDash val="solid"/>
        </a:ln>
      </c:spPr>
    </c:plotArea>
    <c:legend>
      <c:legendPos val="r"/>
      <c:layout>
        <c:manualLayout>
          <c:xMode val="edge"/>
          <c:yMode val="edge"/>
          <c:x val="0.667630057803469"/>
          <c:y val="0.294478527607362"/>
          <c:w val="0.320809248554913"/>
          <c:h val="0.411042944785276"/>
        </c:manualLayout>
      </c:layout>
      <c:overlay val="0"/>
      <c:spPr>
        <a:noFill/>
        <a:ln w="3157">
          <a:solidFill>
            <a:srgbClr val="000000"/>
          </a:solidFill>
          <a:prstDash val="solid"/>
        </a:ln>
      </c:spPr>
      <c:txPr>
        <a:bodyPr rot="0" spcFirstLastPara="0" vertOverflow="ellipsis" vert="horz" wrap="square" anchor="ctr" anchorCtr="1"/>
        <a:lstStyle/>
        <a:p>
          <a:pPr>
            <a:defRPr lang="zh-CN" sz="91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9525" cap="flat" cmpd="sng" algn="ctr">
      <a:noFill/>
      <a:prstDash val="solid"/>
      <a:round/>
    </a:ln>
  </c:spPr>
  <c:txPr>
    <a:bodyPr/>
    <a:lstStyle/>
    <a:p>
      <a:pPr>
        <a:defRPr lang="zh-CN" sz="79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107913669065"/>
          <c:y val="0.115384615384615"/>
          <c:w val="0.510791366906475"/>
          <c:h val="0.78021978021978"/>
        </c:manualLayout>
      </c:layout>
      <c:pieChart>
        <c:varyColors val="1"/>
        <c:ser>
          <c:idx val="0"/>
          <c:order val="0"/>
          <c:tx>
            <c:strRef>
              <c:f>Sheet1!$A$2</c:f>
              <c:strCache>
                <c:ptCount val="1"/>
                <c:pt idx="0">
                  <c:v>东部</c:v>
                </c:pt>
              </c:strCache>
            </c:strRef>
          </c:tx>
          <c:spPr>
            <a:solidFill>
              <a:srgbClr val="9999FF"/>
            </a:solidFill>
            <a:ln w="12700">
              <a:solidFill>
                <a:srgbClr val="000000"/>
              </a:solidFill>
              <a:prstDash val="solid"/>
            </a:ln>
          </c:spPr>
          <c:explosion val="0"/>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Lbls>
            <c:delete val="1"/>
          </c:dLbls>
          <c:cat>
            <c:strRef>
              <c:f>Sheet1!$B$1:$C$1</c:f>
              <c:strCache>
                <c:ptCount val="2"/>
                <c:pt idx="0">
                  <c:v>基本支出</c:v>
                </c:pt>
                <c:pt idx="1">
                  <c:v>项目支出</c:v>
                </c:pt>
              </c:strCache>
            </c:strRef>
          </c:cat>
          <c:val>
            <c:numRef>
              <c:f>Sheet1!$B$2:$C$2</c:f>
              <c:numCache>
                <c:formatCode>General</c:formatCode>
                <c:ptCount val="2"/>
                <c:pt idx="0">
                  <c:v>61.29</c:v>
                </c:pt>
                <c:pt idx="1">
                  <c:v>38.71</c:v>
                </c:pt>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741007194244605"/>
          <c:y val="0.406593406593407"/>
          <c:w val="0.244604316546763"/>
          <c:h val="0.192307692307692"/>
        </c:manualLayout>
      </c:layout>
      <c:overlay val="0"/>
      <c:spPr>
        <a:no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9525"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delete val="1"/>
          </c:dLbls>
          <c:cat>
            <c:strRef>
              <c:f>Sheet1!$A$2</c:f>
              <c:strCache>
                <c:ptCount val="1"/>
                <c:pt idx="0">
                  <c:v>财政拨款收、支总计</c:v>
                </c:pt>
              </c:strCache>
            </c:strRef>
          </c:cat>
          <c:val>
            <c:numRef>
              <c:f>Sheet1!$B$2</c:f>
              <c:numCache>
                <c:formatCode>General</c:formatCode>
                <c:ptCount val="1"/>
                <c:pt idx="0">
                  <c:v>1340.58</c:v>
                </c:pt>
              </c:numCache>
            </c:numRef>
          </c:val>
        </c:ser>
        <c:ser>
          <c:idx val="1"/>
          <c:order val="1"/>
          <c:tx>
            <c:strRef>
              <c:f>Sheet1!$C$1</c:f>
              <c:strCache>
                <c:ptCount val="1"/>
                <c:pt idx="0">
                  <c:v>2019年</c:v>
                </c:pt>
              </c:strCache>
            </c:strRef>
          </c:tx>
          <c:spPr>
            <a:solidFill>
              <a:schemeClr val="accent2"/>
            </a:solidFill>
            <a:ln>
              <a:noFill/>
            </a:ln>
            <a:effectLst/>
          </c:spPr>
          <c:invertIfNegative val="0"/>
          <c:dLbls>
            <c:delete val="1"/>
          </c:dLbls>
          <c:cat>
            <c:strRef>
              <c:f>Sheet1!$A$2</c:f>
              <c:strCache>
                <c:ptCount val="1"/>
                <c:pt idx="0">
                  <c:v>财政拨款收、支总计</c:v>
                </c:pt>
              </c:strCache>
            </c:strRef>
          </c:cat>
          <c:val>
            <c:numRef>
              <c:f>Sheet1!$C$2</c:f>
              <c:numCache>
                <c:formatCode>General</c:formatCode>
                <c:ptCount val="1"/>
                <c:pt idx="0">
                  <c:v>1444.21</c:v>
                </c:pt>
              </c:numCache>
            </c:numRef>
          </c:val>
        </c:ser>
        <c:dLbls>
          <c:showLegendKey val="0"/>
          <c:showVal val="0"/>
          <c:showCatName val="0"/>
          <c:showSerName val="0"/>
          <c:showPercent val="0"/>
          <c:showBubbleSize val="0"/>
        </c:dLbls>
        <c:gapWidth val="219"/>
        <c:overlap val="-27"/>
        <c:axId val="383021142"/>
        <c:axId val="400144998"/>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c15:sqref>
                        </c15:formulaRef>
                      </c:ext>
                    </c:extLst>
                    <c:strCache>
                      <c:ptCount val="1"/>
                      <c:pt idx="0">
                        <c:v>财政拨款收、支总计</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38302114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0144998"/>
        <c:crosses val="autoZero"/>
        <c:auto val="1"/>
        <c:lblAlgn val="ctr"/>
        <c:lblOffset val="100"/>
        <c:noMultiLvlLbl val="0"/>
      </c:catAx>
      <c:valAx>
        <c:axId val="40014499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302114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delete val="1"/>
          </c:dLbls>
          <c:cat>
            <c:strRef>
              <c:f>Sheet1!$A$2</c:f>
              <c:strCache>
                <c:ptCount val="1"/>
                <c:pt idx="0">
                  <c:v>一般公共预算财政拨款支出</c:v>
                </c:pt>
              </c:strCache>
            </c:strRef>
          </c:cat>
          <c:val>
            <c:numRef>
              <c:f>Sheet1!$B$2</c:f>
              <c:numCache>
                <c:formatCode>General</c:formatCode>
                <c:ptCount val="1"/>
                <c:pt idx="0">
                  <c:v>1340.58</c:v>
                </c:pt>
              </c:numCache>
            </c:numRef>
          </c:val>
        </c:ser>
        <c:ser>
          <c:idx val="1"/>
          <c:order val="1"/>
          <c:tx>
            <c:strRef>
              <c:f>Sheet1!$C$1</c:f>
              <c:strCache>
                <c:ptCount val="1"/>
                <c:pt idx="0">
                  <c:v>2019年</c:v>
                </c:pt>
              </c:strCache>
            </c:strRef>
          </c:tx>
          <c:spPr>
            <a:solidFill>
              <a:schemeClr val="accent2"/>
            </a:solidFill>
            <a:ln>
              <a:noFill/>
            </a:ln>
            <a:effectLst/>
          </c:spPr>
          <c:invertIfNegative val="0"/>
          <c:dLbls>
            <c:delete val="1"/>
          </c:dLbls>
          <c:cat>
            <c:strRef>
              <c:f>Sheet1!$A$2</c:f>
              <c:strCache>
                <c:ptCount val="1"/>
                <c:pt idx="0">
                  <c:v>一般公共预算财政拨款支出</c:v>
                </c:pt>
              </c:strCache>
            </c:strRef>
          </c:cat>
          <c:val>
            <c:numRef>
              <c:f>Sheet1!$C$2</c:f>
              <c:numCache>
                <c:formatCode>General</c:formatCode>
                <c:ptCount val="1"/>
                <c:pt idx="0">
                  <c:v>1444.21</c:v>
                </c:pt>
              </c:numCache>
            </c:numRef>
          </c:val>
        </c:ser>
        <c:dLbls>
          <c:showLegendKey val="0"/>
          <c:showVal val="0"/>
          <c:showCatName val="0"/>
          <c:showSerName val="0"/>
          <c:showPercent val="0"/>
          <c:showBubbleSize val="0"/>
        </c:dLbls>
        <c:gapWidth val="219"/>
        <c:overlap val="-27"/>
        <c:axId val="383021142"/>
        <c:axId val="400144998"/>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c15:sqref>
                        </c15:formulaRef>
                      </c:ext>
                    </c:extLst>
                    <c:strCache>
                      <c:ptCount val="1"/>
                      <c:pt idx="0">
                        <c:v>一般公共预算财政拨款支出</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38302114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0144998"/>
        <c:crosses val="autoZero"/>
        <c:auto val="1"/>
        <c:lblAlgn val="ctr"/>
        <c:lblOffset val="100"/>
        <c:noMultiLvlLbl val="0"/>
      </c:catAx>
      <c:valAx>
        <c:axId val="40014499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302114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107913669065"/>
          <c:y val="0.115384615384615"/>
          <c:w val="0.510791366906475"/>
          <c:h val="0.78021978021978"/>
        </c:manualLayout>
      </c:layout>
      <c:pieChart>
        <c:varyColors val="1"/>
        <c:ser>
          <c:idx val="0"/>
          <c:order val="0"/>
          <c:tx>
            <c:strRef>
              <c:f>Sheet1!$A$2</c:f>
              <c:strCache>
                <c:ptCount val="1"/>
                <c:pt idx="0">
                  <c:v>东部</c:v>
                </c:pt>
              </c:strCache>
            </c:strRef>
          </c:tx>
          <c:spPr/>
          <c:explosion val="0"/>
          <c:dPt>
            <c:idx val="0"/>
            <c:bubble3D val="0"/>
            <c:explosion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Lbls>
            <c:delete val="1"/>
          </c:dLbls>
          <c:cat>
            <c:strRef>
              <c:f>Sheet1!$B$1:$E$1</c:f>
              <c:strCache>
                <c:ptCount val="4"/>
                <c:pt idx="0">
                  <c:v>城乡社区支出</c:v>
                </c:pt>
                <c:pt idx="1">
                  <c:v>社会保障和就业支出</c:v>
                </c:pt>
                <c:pt idx="2">
                  <c:v>卫生健康支出</c:v>
                </c:pt>
                <c:pt idx="3">
                  <c:v>住房保障支出</c:v>
                </c:pt>
              </c:strCache>
            </c:strRef>
          </c:cat>
          <c:val>
            <c:numRef>
              <c:f>Sheet1!$B$2:$E$2</c:f>
              <c:numCache>
                <c:formatCode>General</c:formatCode>
                <c:ptCount val="4"/>
                <c:pt idx="0">
                  <c:v>86.83</c:v>
                </c:pt>
                <c:pt idx="1">
                  <c:v>6.94</c:v>
                </c:pt>
                <c:pt idx="2">
                  <c:v>2.62</c:v>
                </c:pt>
                <c:pt idx="3">
                  <c:v>3.61</c:v>
                </c:pt>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a:effectLst/>
      </c:spPr>
    </c:plotArea>
    <c:legend>
      <c:legendPos val="r"/>
      <c:layout>
        <c:manualLayout>
          <c:xMode val="edge"/>
          <c:yMode val="edge"/>
          <c:x val="0.741054414567012"/>
          <c:y val="0.0656819610307982"/>
          <c:w val="0.244547956807114"/>
          <c:h val="0.92394720301697"/>
        </c:manualLayout>
      </c:layout>
      <c:overlay val="0"/>
      <c:spPr>
        <a:noFill/>
        <a:ln w="3175">
          <a:solidFill>
            <a:srgbClr val="000000"/>
          </a:solidFill>
          <a:prstDash val="solid"/>
        </a:ln>
        <a:effectLst/>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9525" cap="flat" cmpd="sng" algn="ctr">
      <a:noFill/>
      <a:prstDash val="solid"/>
      <a:round/>
    </a:ln>
    <a:effectLst/>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55395683453238"/>
          <c:y val="0.115384615384615"/>
          <c:w val="0.507194244604317"/>
          <c:h val="0.774725274725276"/>
        </c:manualLayout>
      </c:layout>
      <c:pieChart>
        <c:varyColors val="1"/>
        <c:ser>
          <c:idx val="0"/>
          <c:order val="0"/>
          <c:tx>
            <c:strRef>
              <c:f>Sheet1!$A$2</c:f>
              <c:strCache>
                <c:ptCount val="1"/>
                <c:pt idx="0">
                  <c:v/>
                </c:pt>
              </c:strCache>
            </c:strRef>
          </c:tx>
          <c:spPr>
            <a:solidFill>
              <a:srgbClr val="9999FF"/>
            </a:solidFill>
            <a:ln w="12612">
              <a:solidFill>
                <a:srgbClr val="000000"/>
              </a:solidFill>
              <a:prstDash val="solid"/>
            </a:ln>
          </c:spPr>
          <c:explosion val="0"/>
          <c:dPt>
            <c:idx val="0"/>
            <c:bubble3D val="0"/>
            <c:spPr>
              <a:solidFill>
                <a:srgbClr val="9999FF"/>
              </a:solidFill>
              <a:ln w="12612">
                <a:solidFill>
                  <a:srgbClr val="000000"/>
                </a:solidFill>
                <a:prstDash val="solid"/>
              </a:ln>
            </c:spPr>
          </c:dPt>
          <c:dPt>
            <c:idx val="1"/>
            <c:bubble3D val="0"/>
            <c:spPr>
              <a:solidFill>
                <a:srgbClr val="993366"/>
              </a:solidFill>
              <a:ln w="12612">
                <a:solidFill>
                  <a:srgbClr val="000000"/>
                </a:solidFill>
                <a:prstDash val="solid"/>
              </a:ln>
            </c:spPr>
          </c:dPt>
          <c:dLbls>
            <c:delete val="1"/>
          </c:dLbls>
          <c:cat>
            <c:strRef>
              <c:f>Sheet1!$B$1:$C$1</c:f>
              <c:strCache>
                <c:ptCount val="2"/>
                <c:pt idx="0">
                  <c:v>公务用车购置及运行维护费</c:v>
                </c:pt>
                <c:pt idx="1">
                  <c:v>公务接待费</c:v>
                </c:pt>
              </c:strCache>
            </c:strRef>
          </c:cat>
          <c:val>
            <c:numRef>
              <c:f>Sheet1!$B$2:$C$2</c:f>
              <c:numCache>
                <c:formatCode>General</c:formatCode>
                <c:ptCount val="2"/>
                <c:pt idx="0">
                  <c:v>99.51</c:v>
                </c:pt>
                <c:pt idx="1">
                  <c:v>0.49</c:v>
                </c:pt>
              </c:numCache>
            </c:numRef>
          </c:val>
        </c:ser>
        <c:dLbls>
          <c:showLegendKey val="0"/>
          <c:showVal val="0"/>
          <c:showCatName val="0"/>
          <c:showSerName val="0"/>
          <c:showPercent val="0"/>
          <c:showBubbleSize val="0"/>
          <c:showLeaderLines val="1"/>
        </c:dLbls>
        <c:firstSliceAng val="0"/>
      </c:pieChart>
      <c:spPr>
        <a:solidFill>
          <a:srgbClr val="C0C0C0"/>
        </a:solidFill>
        <a:ln w="12612">
          <a:solidFill>
            <a:srgbClr val="808080"/>
          </a:solidFill>
          <a:prstDash val="solid"/>
        </a:ln>
      </c:spPr>
    </c:plotArea>
    <c:legend>
      <c:legendPos val="r"/>
      <c:layout>
        <c:manualLayout>
          <c:xMode val="edge"/>
          <c:yMode val="edge"/>
          <c:x val="0.654676258992806"/>
          <c:y val="0.324175824175824"/>
          <c:w val="0.330935251798561"/>
          <c:h val="0.346153846153846"/>
        </c:manualLayout>
      </c:layout>
      <c:overlay val="0"/>
      <c:spPr>
        <a:noFill/>
        <a:ln w="3153">
          <a:solidFill>
            <a:srgbClr val="000000"/>
          </a:solidFill>
          <a:prstDash val="solid"/>
        </a:ln>
      </c:spPr>
      <c:txPr>
        <a:bodyPr rot="0" spcFirstLastPara="0" vertOverflow="ellipsis" vert="horz" wrap="square" anchor="ctr" anchorCtr="1"/>
        <a:lstStyle/>
        <a:p>
          <a:pPr>
            <a:defRPr lang="zh-CN" sz="82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9525" cap="flat" cmpd="sng" algn="ctr">
      <a:noFill/>
      <a:prstDash val="solid"/>
      <a:round/>
    </a:ln>
  </c:spPr>
  <c:txPr>
    <a:bodyPr/>
    <a:lstStyle/>
    <a:p>
      <a:pPr>
        <a:defRPr lang="zh-CN" sz="89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1FA5C-FBC4-4E0C-90C9-F7AB8D53FD89}">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1284</Words>
  <Characters>7320</Characters>
  <Lines>61</Lines>
  <Paragraphs>17</Paragraphs>
  <TotalTime>1</TotalTime>
  <ScaleCrop>false</ScaleCrop>
  <LinksUpToDate>false</LinksUpToDate>
  <CharactersWithSpaces>8587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弄萧</cp:lastModifiedBy>
  <cp:lastPrinted>2020-09-22T07:24:00Z</cp:lastPrinted>
  <dcterms:modified xsi:type="dcterms:W3CDTF">2020-09-23T12:47:26Z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