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hint="eastAsia" w:ascii="方正小标宋简体" w:hAnsi="宋体" w:eastAsia="方正小标宋简体"/>
          <w:color w:val="000000"/>
          <w:sz w:val="72"/>
          <w:szCs w:val="72"/>
        </w:rPr>
      </w:pPr>
      <w:bookmarkStart w:id="1" w:name="_Toc15378441"/>
      <w:bookmarkStart w:id="2" w:name="_Toc15377193"/>
      <w:bookmarkStart w:id="3" w:name="_Toc20950"/>
      <w:bookmarkStart w:id="4" w:name="_Toc15377425"/>
      <w:bookmarkStart w:id="5" w:name="_Toc15396597"/>
      <w:bookmarkStart w:id="6" w:name="_Toc15396475"/>
      <w:r>
        <w:rPr>
          <w:rFonts w:hint="eastAsia" w:ascii="方正小标宋简体" w:hAnsi="宋体" w:eastAsia="方正小标宋简体"/>
          <w:color w:val="000000"/>
          <w:sz w:val="72"/>
          <w:szCs w:val="72"/>
        </w:rPr>
        <w:t>20</w:t>
      </w:r>
      <w:r>
        <w:rPr>
          <w:rFonts w:hint="eastAsia" w:ascii="方正小标宋简体" w:hAnsi="宋体" w:eastAsia="方正小标宋简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ascii="方正小标宋简体" w:hAnsi="宋体" w:eastAsia="方正小标宋简体"/>
          <w:color w:val="000000"/>
          <w:sz w:val="72"/>
          <w:szCs w:val="72"/>
        </w:rPr>
      </w:pPr>
      <w:bookmarkStart w:id="7" w:name="_Toc6643"/>
      <w:bookmarkStart w:id="8" w:name="_Toc15396598"/>
      <w:bookmarkStart w:id="9" w:name="_Toc15378442"/>
      <w:bookmarkStart w:id="10" w:name="_Toc15377426"/>
      <w:bookmarkStart w:id="11" w:name="_Toc15377194"/>
      <w:bookmarkStart w:id="12" w:name="_Toc15396476"/>
      <w:r>
        <w:rPr>
          <w:rFonts w:hint="eastAsia" w:ascii="方正小标宋简体" w:hAnsi="宋体" w:eastAsia="方正小标宋简体"/>
          <w:color w:val="000000"/>
          <w:sz w:val="72"/>
          <w:szCs w:val="72"/>
        </w:rPr>
        <w:t>四川省阿坝州</w:t>
      </w:r>
      <w:bookmarkEnd w:id="0"/>
      <w:bookmarkStart w:id="13" w:name="_Toc15306268"/>
      <w:r>
        <w:rPr>
          <w:rFonts w:hint="eastAsia" w:ascii="方正小标宋简体" w:hAnsi="宋体" w:eastAsia="方正小标宋简体"/>
          <w:color w:val="000000"/>
          <w:sz w:val="72"/>
          <w:szCs w:val="72"/>
          <w:lang w:val="en-US" w:eastAsia="zh-CN"/>
        </w:rPr>
        <w:t>住房和城乡建设局</w:t>
      </w:r>
      <w:r>
        <w:rPr>
          <w:rFonts w:hint="eastAsia" w:ascii="方正小标宋简体" w:hAnsi="宋体" w:eastAsia="方正小标宋简体"/>
          <w:color w:val="000000"/>
          <w:sz w:val="72"/>
          <w:szCs w:val="72"/>
        </w:rPr>
        <w:t>部门决算</w:t>
      </w:r>
      <w:bookmarkEnd w:id="7"/>
      <w:bookmarkEnd w:id="8"/>
      <w:bookmarkEnd w:id="9"/>
      <w:bookmarkEnd w:id="10"/>
      <w:bookmarkEnd w:id="11"/>
      <w:bookmarkEnd w:id="12"/>
      <w:bookmarkEnd w:id="13"/>
    </w:p>
    <w:p>
      <w:pPr>
        <w:widowControl/>
        <w:jc w:val="center"/>
        <w:rPr>
          <w:rFonts w:ascii="方正小标宋简体" w:hAnsi="宋体" w:eastAsia="方正小标宋简体"/>
          <w:color w:val="000000"/>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autoSpaceDE w:val="0"/>
        <w:autoSpaceDN w:val="0"/>
        <w:adjustRightInd w:val="0"/>
        <w:ind w:firstLine="1276"/>
        <w:jc w:val="left"/>
        <w:rPr>
          <w:rFonts w:eastAsia="仿宋_GB2312"/>
          <w:sz w:val="32"/>
          <w:szCs w:val="32"/>
        </w:rPr>
      </w:pPr>
      <w:r>
        <w:rPr>
          <w:rFonts w:hint="eastAsia" w:ascii="仿宋_GB2312" w:hAnsi="Calibri" w:eastAsia="仿宋_GB2312" w:cs="仿宋_GB2312"/>
          <w:sz w:val="32"/>
          <w:szCs w:val="32"/>
        </w:rPr>
        <w:t>保密审查情况：已审查，内容审定</w:t>
      </w:r>
    </w:p>
    <w:p>
      <w:pPr>
        <w:autoSpaceDE w:val="0"/>
        <w:autoSpaceDN w:val="0"/>
        <w:adjustRightInd w:val="0"/>
        <w:ind w:firstLine="1276"/>
        <w:jc w:val="left"/>
        <w:rPr>
          <w:rFonts w:ascii="方正小标宋简体" w:hAnsi="宋体" w:eastAsia="方正小标宋简体"/>
          <w:sz w:val="36"/>
          <w:szCs w:val="36"/>
        </w:rPr>
      </w:pPr>
      <w:r>
        <w:rPr>
          <w:rFonts w:hint="eastAsia" w:ascii="仿宋_GB2312" w:eastAsia="仿宋_GB2312" w:cs="仿宋_GB2312"/>
          <w:sz w:val="32"/>
          <w:szCs w:val="32"/>
        </w:rPr>
        <w:t>审签情况：已审签</w:t>
      </w:r>
      <w:r>
        <w:rPr>
          <w:rFonts w:hint="eastAsia" w:ascii="仿宋_GB2312" w:hAnsi="Calibri" w:eastAsia="仿宋_GB2312" w:cs="仿宋_GB2312"/>
          <w:sz w:val="32"/>
          <w:szCs w:val="32"/>
        </w:rPr>
        <w:t>，同意对外公开</w:t>
      </w:r>
    </w:p>
    <w:p>
      <w:pPr>
        <w:widowControl/>
        <w:jc w:val="both"/>
        <w:rPr>
          <w:rFonts w:hint="eastAsia" w:ascii="黑体" w:hAnsi="黑体" w:eastAsia="黑体"/>
          <w:color w:val="000000"/>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w:t>
      </w:r>
      <w:r>
        <w:rPr>
          <w:rFonts w:hint="eastAsia"/>
          <w:lang w:val="en-US" w:eastAsia="zh-CN"/>
        </w:rPr>
        <w:t>1</w:t>
      </w:r>
      <w:r>
        <w:rPr>
          <w:rFonts w:hint="eastAsia"/>
        </w:rPr>
        <w:t>年9月</w:t>
      </w:r>
      <w:r>
        <w:rPr>
          <w:rFonts w:hint="eastAsia"/>
          <w:lang w:val="en-US" w:eastAsia="zh-CN"/>
        </w:rPr>
        <w:t>28</w:t>
      </w:r>
      <w:r>
        <w:rPr>
          <w:rFonts w:hint="eastAsia"/>
        </w:rPr>
        <w:t>日</w:t>
      </w:r>
    </w:p>
    <w:sdt>
      <w:sdtPr>
        <w:rPr>
          <w:rFonts w:ascii="宋体" w:hAnsi="宋体" w:eastAsia="宋体" w:cs="Times New Roman"/>
          <w:kern w:val="2"/>
          <w:sz w:val="21"/>
          <w:szCs w:val="24"/>
          <w:lang w:val="en-US" w:eastAsia="zh-CN" w:bidi="ar-SA"/>
        </w:rPr>
        <w:id w:val="147467686"/>
        <w15:color w:val="DBDBDB"/>
        <w:docPartObj>
          <w:docPartGallery w:val="Table of Contents"/>
          <w:docPartUnique/>
        </w:docPartObj>
      </w:sdtPr>
      <w:sdtEndPr>
        <w:rPr>
          <w:rFonts w:hint="eastAsia" w:asciiTheme="minorEastAsia" w:hAnsiTheme="minorEastAsia" w:eastAsiaTheme="minorEastAsia" w:cstheme="minorEastAsia"/>
          <w:b w:val="0"/>
          <w:bCs/>
          <w:kern w:val="2"/>
          <w:sz w:val="28"/>
          <w:szCs w:val="28"/>
          <w:lang w:val="en-US" w:eastAsia="zh-CN" w:bidi="ar-SA"/>
        </w:rPr>
      </w:sdtEndPr>
      <w:sdtContent>
        <w:p>
          <w:pPr>
            <w:pStyle w:val="32"/>
            <w:tabs>
              <w:tab w:val="right" w:leader="dot" w:pos="8306"/>
            </w:tabs>
            <w:rPr>
              <w:rFonts w:hint="eastAsia" w:asciiTheme="minorEastAsia" w:hAnsiTheme="minorEastAsia" w:eastAsiaTheme="minorEastAsia" w:cstheme="minorEastAsia"/>
              <w:b w:val="0"/>
              <w:bCs/>
              <w:sz w:val="28"/>
              <w:szCs w:val="28"/>
            </w:rPr>
          </w:pPr>
          <w:bookmarkStart w:id="14" w:name="_Toc15377196"/>
          <w:bookmarkStart w:id="15" w:name="_Toc15396599"/>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TOC \o "1-2" \h \u </w:instrText>
          </w:r>
          <w:r>
            <w:rPr>
              <w:rFonts w:hint="eastAsia" w:asciiTheme="minorEastAsia" w:hAnsiTheme="minorEastAsia" w:eastAsiaTheme="minorEastAsia" w:cstheme="minorEastAsia"/>
              <w:b w:val="0"/>
              <w:bCs/>
              <w:sz w:val="28"/>
              <w:szCs w:val="28"/>
            </w:rPr>
            <w:fldChar w:fldCharType="separate"/>
          </w:r>
        </w:p>
        <w:p>
          <w:pPr>
            <w:pStyle w:val="32"/>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_Toc12605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第一部分 部门概况</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_Toc12605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_Toc3309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一、基本职能及主要工作</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_Toc3309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_Toc1000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二、机构设置</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_Toc1000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7</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2"/>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_Toc29889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第二部分 20</w:t>
          </w:r>
          <w:r>
            <w:rPr>
              <w:rFonts w:hint="eastAsia" w:asciiTheme="minorEastAsia" w:hAnsiTheme="minorEastAsia" w:cstheme="minorEastAsia"/>
              <w:b w:val="0"/>
              <w:bCs/>
              <w:sz w:val="28"/>
              <w:szCs w:val="28"/>
              <w:lang w:val="en-US" w:eastAsia="zh-CN"/>
            </w:rPr>
            <w:t>20</w:t>
          </w:r>
          <w:r>
            <w:rPr>
              <w:rFonts w:hint="eastAsia" w:asciiTheme="minorEastAsia" w:hAnsiTheme="minorEastAsia" w:eastAsiaTheme="minorEastAsia" w:cstheme="minorEastAsia"/>
              <w:b w:val="0"/>
              <w:bCs/>
              <w:sz w:val="28"/>
              <w:szCs w:val="28"/>
            </w:rPr>
            <w:t>年度部门决算情况说明</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_Toc29889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8</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_Toc1285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一、 收入支出决算总体情况说明</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_Toc1285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8</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_Toc16191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二、 收入决算情况说明</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_Toc16191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8</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_Toc29810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三、 支出决算情况说明</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_Toc29810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9</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_Toc9889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四、财政拨款收入支出决算总体情况说明</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_Toc9889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10</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_Toc1694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五、一般公共预算财政拨款支出决算情况说明</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_Toc1694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10</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_Toc20405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六、一般公共预算财政拨款基本支出决算情况说明</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_Toc20405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14</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_Toc9329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七、“三公”经费财政拨款支出决算情况说明</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_Toc9329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14</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_Toc11506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八、政府性基金预算支出决算情况说明</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_Toc11506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16</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_Toc5857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九、 国有资本经营预算支出决算情况说明</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_Toc5857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16</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_Toc19437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十、其他重要事项的情况说明</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_Toc19437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16</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2"/>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_Toc21424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第三部分 名词解释</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_Toc21424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19</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2"/>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_Toc2409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第四部分 附件</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_Toc2409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22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2"/>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_Toc14172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第五部分 附表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_Toc14172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_Toc7641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一、收入支出决算总表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_Toc7641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_Toc27331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二、收入决算表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_Toc27331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_Toc26834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三、支出决算表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_Toc26834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_Toc20077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四、财政拨款收入支出决算总表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_Toc20077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_Toc5049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五、财政拨款支出决算明细表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_Toc5049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_Toc24880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六、一般公共预算财政拨款支出决算表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_Toc24880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_Toc25001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七、一般公共预算财政拨款支出决算明细表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_Toc25001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_Toc8916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八、一般公共预算财政拨款基本支出决算表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_Toc8916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_Toc24574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九、一般公共预算财政拨款项目支出决算表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_Toc24574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_Toc3377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十、一般公共预算财政拨款“三公”经费支出决算表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_Toc3377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_Toc25459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十一、政府性基金预算财政拨款收入支出决算表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_Toc25459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_Toc25423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十二、政府性基金预算财政拨款“三公”经费支出决算表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_Toc25423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_Toc18239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十三、国有资本经营预算</w:t>
          </w:r>
          <w:r>
            <w:rPr>
              <w:rFonts w:hint="eastAsia" w:asciiTheme="minorEastAsia" w:hAnsiTheme="minorEastAsia" w:cstheme="minorEastAsia"/>
              <w:b w:val="0"/>
              <w:bCs/>
              <w:sz w:val="28"/>
              <w:szCs w:val="28"/>
              <w:lang w:val="en-US" w:eastAsia="zh-CN"/>
            </w:rPr>
            <w:t>财政拨款收入</w:t>
          </w:r>
          <w:r>
            <w:rPr>
              <w:rFonts w:hint="eastAsia" w:asciiTheme="minorEastAsia" w:hAnsiTheme="minorEastAsia" w:eastAsiaTheme="minorEastAsia" w:cstheme="minorEastAsia"/>
              <w:b w:val="0"/>
              <w:bCs/>
              <w:sz w:val="28"/>
              <w:szCs w:val="28"/>
            </w:rPr>
            <w:t>支出决算表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_Toc18239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pPr>
            <w:pStyle w:val="33"/>
            <w:tabs>
              <w:tab w:val="right" w:leader="dot" w:pos="8306"/>
            </w:tabs>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cstheme="minorEastAsia"/>
              <w:b w:val="0"/>
              <w:bCs/>
              <w:sz w:val="28"/>
              <w:szCs w:val="28"/>
              <w:lang w:val="en-US" w:eastAsia="zh-CN"/>
            </w:rPr>
            <w:t>十四、国有资本经营预算财政拨款支出决算表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_Toc18239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42</w:t>
          </w:r>
          <w:r>
            <w:rPr>
              <w:rFonts w:hint="eastAsia" w:asciiTheme="minorEastAsia" w:hAnsiTheme="minorEastAsia" w:eastAsiaTheme="minorEastAsia" w:cstheme="minorEastAsia"/>
              <w:b w:val="0"/>
              <w:bCs/>
              <w:sz w:val="28"/>
              <w:szCs w:val="28"/>
            </w:rPr>
            <w:fldChar w:fldCharType="end"/>
          </w:r>
        </w:p>
        <w:p>
          <w:pPr>
            <w:widowControl/>
            <w:spacing w:line="440" w:lineRule="exact"/>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end"/>
          </w:r>
        </w:p>
      </w:sdtContent>
    </w:sdt>
    <w:p>
      <w:pPr>
        <w:rPr>
          <w:rFonts w:hint="eastAsia" w:ascii="黑体" w:hAnsi="黑体" w:eastAsia="黑体"/>
          <w:b w:val="0"/>
        </w:rPr>
      </w:pPr>
      <w:bookmarkStart w:id="16" w:name="_Toc12605"/>
    </w:p>
    <w:p>
      <w:pPr>
        <w:pStyle w:val="2"/>
        <w:ind w:firstLine="2200" w:firstLineChars="500"/>
        <w:jc w:val="both"/>
        <w:rPr>
          <w:rFonts w:hint="eastAsia" w:ascii="黑体" w:hAnsi="黑体" w:eastAsia="黑体"/>
          <w:b w:val="0"/>
        </w:rPr>
        <w:sectPr>
          <w:footerReference r:id="rId6" w:type="first"/>
          <w:footerReference r:id="rId5" w:type="default"/>
          <w:pgSz w:w="11906" w:h="16838"/>
          <w:pgMar w:top="1440" w:right="1800" w:bottom="1440" w:left="1800" w:header="851" w:footer="992" w:gutter="0"/>
          <w:pgNumType w:start="1"/>
          <w:cols w:space="425" w:num="1"/>
          <w:docGrid w:type="lines" w:linePitch="312" w:charSpace="0"/>
        </w:sectPr>
      </w:pPr>
    </w:p>
    <w:p>
      <w:pPr>
        <w:pStyle w:val="2"/>
        <w:ind w:firstLine="2200" w:firstLineChars="500"/>
        <w:jc w:val="both"/>
        <w:rPr>
          <w:rFonts w:ascii="黑体" w:eastAsia="黑体"/>
          <w:color w:val="000000"/>
          <w:sz w:val="32"/>
          <w:szCs w:val="32"/>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4"/>
      <w:bookmarkEnd w:id="15"/>
      <w:bookmarkEnd w:id="16"/>
    </w:p>
    <w:p>
      <w:pPr>
        <w:pStyle w:val="3"/>
        <w:ind w:firstLine="640" w:firstLineChars="200"/>
        <w:rPr>
          <w:rStyle w:val="25"/>
          <w:rFonts w:ascii="仿宋" w:hAnsi="仿宋" w:eastAsia="仿宋"/>
          <w:b w:val="0"/>
          <w:bCs w:val="0"/>
        </w:rPr>
      </w:pPr>
      <w:bookmarkStart w:id="17" w:name="_Toc15377197"/>
      <w:bookmarkStart w:id="18" w:name="_Toc3309"/>
      <w:bookmarkStart w:id="19"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7"/>
      <w:bookmarkEnd w:id="18"/>
      <w:bookmarkEnd w:id="19"/>
    </w:p>
    <w:p>
      <w:pPr>
        <w:keepNext w:val="0"/>
        <w:keepLines w:val="0"/>
        <w:pageBreakBefore w:val="0"/>
        <w:kinsoku/>
        <w:wordWrap/>
        <w:overflowPunct/>
        <w:topLinePunct w:val="0"/>
        <w:autoSpaceDE/>
        <w:autoSpaceDN/>
        <w:bidi w:val="0"/>
        <w:adjustRightInd/>
        <w:spacing w:line="560" w:lineRule="exact"/>
        <w:ind w:firstLine="642" w:firstLineChars="200"/>
        <w:jc w:val="left"/>
        <w:textAlignment w:val="auto"/>
        <w:rPr>
          <w:rFonts w:hint="default" w:ascii="仿宋_GB2312" w:hAnsi="仿宋" w:eastAsia="仿宋_GB2312"/>
          <w:sz w:val="32"/>
          <w:szCs w:val="32"/>
          <w:lang w:val="en-US"/>
        </w:rPr>
      </w:pPr>
      <w:bookmarkStart w:id="20" w:name="_Toc15377198"/>
      <w:bookmarkStart w:id="21" w:name="_Toc15378445"/>
      <w:r>
        <w:rPr>
          <w:rFonts w:hint="eastAsia" w:ascii="楷体_GB2312" w:hAnsi="楷体_GB2312" w:eastAsia="楷体_GB2312" w:cs="楷体_GB2312"/>
          <w:b/>
          <w:bCs w:val="0"/>
          <w:color w:val="000000"/>
          <w:sz w:val="32"/>
          <w:szCs w:val="32"/>
        </w:rPr>
        <w:t>（一）主要职能。</w:t>
      </w:r>
      <w:bookmarkEnd w:id="20"/>
      <w:bookmarkEnd w:id="21"/>
      <w:bookmarkStart w:id="22" w:name="_Toc15378446"/>
      <w:bookmarkStart w:id="23" w:name="_Toc15377199"/>
      <w:r>
        <w:rPr>
          <w:rFonts w:hint="eastAsia" w:ascii="仿宋_GB2312" w:hAnsi="仿宋" w:eastAsia="仿宋_GB2312"/>
          <w:sz w:val="32"/>
          <w:szCs w:val="32"/>
          <w:lang w:val="en-US" w:eastAsia="zh-CN"/>
        </w:rPr>
        <w:t>阿坝州住房和城乡建设局</w:t>
      </w:r>
      <w:r>
        <w:rPr>
          <w:rFonts w:hint="eastAsia" w:ascii="仿宋_GB2312" w:hAnsi="仿宋" w:eastAsia="仿宋_GB2312"/>
          <w:sz w:val="32"/>
          <w:szCs w:val="32"/>
        </w:rPr>
        <w:t>根据《</w:t>
      </w:r>
      <w:r>
        <w:rPr>
          <w:rFonts w:hint="eastAsia" w:ascii="仿宋_GB2312" w:hAnsi="仿宋" w:eastAsia="仿宋_GB2312"/>
          <w:sz w:val="32"/>
          <w:szCs w:val="32"/>
          <w:lang w:val="en-US" w:eastAsia="zh-CN"/>
        </w:rPr>
        <w:t>中共阿坝州委机构编制委员会关于调整州住房和城乡建设局机构编制事项的通知</w:t>
      </w:r>
      <w:r>
        <w:rPr>
          <w:rFonts w:hint="eastAsia" w:ascii="仿宋_GB2312" w:hAnsi="仿宋" w:eastAsia="仿宋_GB2312"/>
          <w:sz w:val="32"/>
          <w:szCs w:val="32"/>
        </w:rPr>
        <w:t>》（</w:t>
      </w:r>
      <w:r>
        <w:rPr>
          <w:rFonts w:hint="eastAsia" w:ascii="仿宋_GB2312" w:hAnsi="仿宋" w:eastAsia="仿宋_GB2312"/>
          <w:sz w:val="32"/>
          <w:szCs w:val="32"/>
          <w:lang w:val="en-US" w:eastAsia="zh-CN"/>
        </w:rPr>
        <w:t>阿编发</w:t>
      </w: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w:t>
      </w:r>
      <w:r>
        <w:rPr>
          <w:rFonts w:hint="eastAsia" w:ascii="仿宋_GB2312" w:hAnsi="仿宋" w:eastAsia="仿宋_GB2312"/>
          <w:sz w:val="32"/>
          <w:szCs w:val="32"/>
          <w:lang w:val="en-US" w:eastAsia="zh-CN"/>
        </w:rPr>
        <w:t>77</w:t>
      </w:r>
      <w:r>
        <w:rPr>
          <w:rFonts w:hint="eastAsia" w:ascii="仿宋_GB2312" w:hAnsi="仿宋" w:eastAsia="仿宋_GB2312"/>
          <w:sz w:val="32"/>
          <w:szCs w:val="32"/>
        </w:rPr>
        <w:t>号）</w:t>
      </w:r>
      <w:r>
        <w:rPr>
          <w:rFonts w:hint="eastAsia" w:ascii="仿宋_GB2312" w:hAnsi="仿宋" w:eastAsia="仿宋_GB2312"/>
          <w:sz w:val="32"/>
          <w:szCs w:val="32"/>
          <w:lang w:val="en-US" w:eastAsia="zh-CN"/>
        </w:rPr>
        <w:t>批准，</w:t>
      </w:r>
      <w:r>
        <w:rPr>
          <w:rFonts w:hint="eastAsia" w:ascii="仿宋_GB2312" w:hAnsi="方正小标宋_GBK" w:eastAsia="仿宋_GB2312" w:cs="方正小标宋_GBK"/>
          <w:sz w:val="32"/>
          <w:szCs w:val="32"/>
        </w:rPr>
        <w:t>贯彻执行国家</w:t>
      </w:r>
      <w:r>
        <w:rPr>
          <w:rFonts w:hint="eastAsia" w:ascii="仿宋_GB2312" w:hAnsi="方正小标宋_GBK" w:eastAsia="仿宋_GB2312" w:cs="方正小标宋_GBK"/>
          <w:sz w:val="32"/>
          <w:szCs w:val="32"/>
          <w:lang w:val="en-US" w:eastAsia="zh-CN"/>
        </w:rPr>
        <w:t>有关住房和城乡建设</w:t>
      </w:r>
      <w:r>
        <w:rPr>
          <w:rFonts w:hint="eastAsia" w:ascii="仿宋_GB2312" w:hAnsi="方正小标宋_GBK" w:eastAsia="仿宋_GB2312" w:cs="方正小标宋_GBK"/>
          <w:sz w:val="32"/>
          <w:szCs w:val="32"/>
        </w:rPr>
        <w:t>的法律、法规、规章和方针政策</w:t>
      </w:r>
      <w:r>
        <w:rPr>
          <w:rFonts w:hint="eastAsia" w:ascii="仿宋_GB2312" w:hAnsi="方正小标宋_GBK" w:eastAsia="仿宋_GB2312" w:cs="方正小标宋_GBK"/>
          <w:sz w:val="32"/>
          <w:szCs w:val="32"/>
          <w:lang w:eastAsia="zh-CN"/>
        </w:rPr>
        <w:t>，</w:t>
      </w:r>
      <w:r>
        <w:rPr>
          <w:rFonts w:hint="eastAsia" w:ascii="仿宋_GB2312" w:hAnsi="仿宋" w:eastAsia="仿宋_GB2312"/>
          <w:sz w:val="32"/>
          <w:szCs w:val="32"/>
          <w:lang w:val="en-US" w:eastAsia="zh-CN"/>
        </w:rPr>
        <w:t>统筹发展全州住房和城乡建设工作。</w:t>
      </w:r>
      <w:r>
        <w:rPr>
          <w:rFonts w:hint="eastAsia" w:ascii="仿宋_GB2312" w:hAnsi="仿宋" w:eastAsia="仿宋_GB2312"/>
          <w:sz w:val="32"/>
          <w:szCs w:val="32"/>
        </w:rPr>
        <w:t>下属</w:t>
      </w:r>
      <w:r>
        <w:rPr>
          <w:rFonts w:hint="eastAsia" w:ascii="仿宋_GB2312" w:hAnsi="仿宋" w:eastAsia="仿宋_GB2312"/>
          <w:sz w:val="32"/>
          <w:szCs w:val="32"/>
          <w:lang w:val="en-US" w:eastAsia="zh-CN"/>
        </w:rPr>
        <w:t>2</w:t>
      </w:r>
      <w:r>
        <w:rPr>
          <w:rFonts w:hint="eastAsia" w:ascii="仿宋_GB2312" w:hAnsi="仿宋" w:eastAsia="仿宋_GB2312"/>
          <w:sz w:val="32"/>
          <w:szCs w:val="32"/>
        </w:rPr>
        <w:t>个直属</w:t>
      </w:r>
      <w:r>
        <w:rPr>
          <w:rFonts w:hint="eastAsia" w:ascii="仿宋_GB2312" w:hAnsi="仿宋" w:eastAsia="仿宋_GB2312"/>
          <w:sz w:val="32"/>
          <w:szCs w:val="32"/>
          <w:lang w:val="en-US" w:eastAsia="zh-CN"/>
        </w:rPr>
        <w:t>参公</w:t>
      </w:r>
      <w:r>
        <w:rPr>
          <w:rFonts w:hint="eastAsia" w:ascii="仿宋_GB2312" w:hAnsi="仿宋" w:eastAsia="仿宋_GB2312"/>
          <w:sz w:val="32"/>
          <w:szCs w:val="32"/>
        </w:rPr>
        <w:t>事业单位根据</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中共阿坝州委机构编制委员会关于调整州住房和城乡建设局所属事业单位有关机构编制事项的通知</w:t>
      </w:r>
      <w:r>
        <w:rPr>
          <w:rFonts w:hint="eastAsia" w:ascii="仿宋_GB2312" w:hAnsi="仿宋" w:eastAsia="仿宋_GB2312"/>
          <w:sz w:val="32"/>
          <w:szCs w:val="32"/>
          <w:lang w:eastAsia="zh-CN"/>
        </w:rPr>
        <w:t>》（</w:t>
      </w:r>
      <w:r>
        <w:rPr>
          <w:rFonts w:hint="eastAsia" w:ascii="仿宋_GB2312" w:hAnsi="仿宋" w:eastAsia="仿宋_GB2312"/>
          <w:sz w:val="32"/>
          <w:szCs w:val="32"/>
        </w:rPr>
        <w:t>阿编发[201</w:t>
      </w:r>
      <w:r>
        <w:rPr>
          <w:rFonts w:hint="eastAsia" w:ascii="仿宋_GB2312" w:hAnsi="仿宋" w:eastAsia="仿宋_GB2312"/>
          <w:sz w:val="32"/>
          <w:szCs w:val="32"/>
          <w:lang w:val="en-US" w:eastAsia="zh-CN"/>
        </w:rPr>
        <w:t>9</w:t>
      </w:r>
      <w:r>
        <w:rPr>
          <w:rFonts w:hint="eastAsia" w:ascii="仿宋_GB2312" w:hAnsi="仿宋" w:eastAsia="仿宋_GB2312"/>
          <w:sz w:val="32"/>
          <w:szCs w:val="32"/>
        </w:rPr>
        <w:t>]5</w:t>
      </w:r>
      <w:r>
        <w:rPr>
          <w:rFonts w:hint="eastAsia" w:ascii="仿宋_GB2312" w:hAnsi="仿宋" w:eastAsia="仿宋_GB2312"/>
          <w:sz w:val="32"/>
          <w:szCs w:val="32"/>
          <w:lang w:val="en-US" w:eastAsia="zh-CN"/>
        </w:rPr>
        <w:t>3</w:t>
      </w:r>
      <w:r>
        <w:rPr>
          <w:rFonts w:hint="eastAsia" w:ascii="仿宋_GB2312" w:hAnsi="仿宋" w:eastAsia="仿宋_GB2312"/>
          <w:sz w:val="32"/>
          <w:szCs w:val="32"/>
        </w:rPr>
        <w:t>号</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批准。阿坝州建设工程质量安全监督站（州工程造价站）负责全州建筑工程施工质量、安全生产、工地环保、竣工验收备案等工作的实施、监督执行及技术指导；负责全州建设工程监理、工程质量检测及鉴定行业的监督管理；提供全州建筑工程质量安全事故的调查服务。阿坝州城市管理综合行政执法监督局贯彻执行国家有关城市管理执法</w:t>
      </w:r>
      <w:r>
        <w:rPr>
          <w:rFonts w:hint="eastAsia" w:ascii="仿宋_GB2312" w:hAnsi="方正小标宋_GBK" w:eastAsia="仿宋_GB2312" w:cs="方正小标宋_GBK"/>
          <w:sz w:val="32"/>
          <w:szCs w:val="32"/>
        </w:rPr>
        <w:t>的法律、法规、规章和方针政策</w:t>
      </w:r>
      <w:r>
        <w:rPr>
          <w:rFonts w:hint="eastAsia" w:ascii="仿宋_GB2312" w:hAnsi="方正小标宋_GBK" w:eastAsia="仿宋_GB2312" w:cs="方正小标宋_GBK"/>
          <w:sz w:val="32"/>
          <w:szCs w:val="32"/>
          <w:lang w:eastAsia="zh-CN"/>
        </w:rPr>
        <w:t>；</w:t>
      </w:r>
      <w:r>
        <w:rPr>
          <w:rFonts w:hint="eastAsia" w:ascii="仿宋_GB2312" w:hAnsi="方正小标宋_GBK" w:eastAsia="仿宋_GB2312" w:cs="方正小标宋_GBK"/>
          <w:sz w:val="32"/>
          <w:szCs w:val="32"/>
        </w:rPr>
        <w:t>组织拟订全州城市管理政策措施并监督执行</w:t>
      </w:r>
      <w:r>
        <w:rPr>
          <w:rFonts w:hint="eastAsia" w:ascii="仿宋_GB2312" w:hAnsi="方正小标宋_GBK" w:eastAsia="仿宋_GB2312" w:cs="方正小标宋_GBK"/>
          <w:sz w:val="32"/>
          <w:szCs w:val="32"/>
          <w:lang w:eastAsia="zh-CN"/>
        </w:rPr>
        <w:t>；</w:t>
      </w:r>
      <w:r>
        <w:rPr>
          <w:rFonts w:hint="eastAsia" w:ascii="仿宋_GB2312" w:hAnsi="方正小标宋_GBK" w:eastAsia="仿宋_GB2312" w:cs="方正小标宋_GBK"/>
          <w:sz w:val="32"/>
          <w:szCs w:val="32"/>
        </w:rPr>
        <w:t>负责全州城市管理执法业务指导、组织协调、监督检查工作，指导全州城市管理执法队伍建设</w:t>
      </w:r>
      <w:r>
        <w:rPr>
          <w:rFonts w:hint="eastAsia" w:ascii="仿宋_GB2312" w:hAnsi="方正小标宋_GBK" w:eastAsia="仿宋_GB2312" w:cs="方正小标宋_GBK"/>
          <w:sz w:val="32"/>
          <w:szCs w:val="32"/>
          <w:lang w:eastAsia="zh-CN"/>
        </w:rPr>
        <w:t>；</w:t>
      </w:r>
      <w:r>
        <w:rPr>
          <w:rFonts w:hint="eastAsia" w:ascii="仿宋_GB2312" w:hAnsi="方正小标宋_GBK" w:eastAsia="仿宋_GB2312" w:cs="方正小标宋_GBK"/>
          <w:sz w:val="32"/>
          <w:szCs w:val="32"/>
        </w:rPr>
        <w:t>组织查处涉及城乡建设领域重大案件，协调、监督跨县（市）案件的查处。</w:t>
      </w:r>
    </w:p>
    <w:p>
      <w:pPr>
        <w:pStyle w:val="5"/>
        <w:adjustRightInd w:val="0"/>
        <w:snapToGrid w:val="0"/>
        <w:spacing w:before="93" w:line="600" w:lineRule="exact"/>
        <w:ind w:firstLine="674" w:firstLineChars="210"/>
        <w:outlineLvl w:val="2"/>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（二）</w:t>
      </w:r>
      <w:r>
        <w:rPr>
          <w:rFonts w:hint="eastAsia" w:ascii="楷体_GB2312" w:hAnsi="楷体_GB2312" w:eastAsia="楷体_GB2312" w:cs="楷体_GB2312"/>
          <w:b/>
          <w:bCs w:val="0"/>
          <w:color w:val="000000"/>
          <w:sz w:val="32"/>
          <w:szCs w:val="32"/>
          <w:lang w:val="en-US" w:eastAsia="zh-CN"/>
        </w:rPr>
        <w:t>2020</w:t>
      </w:r>
      <w:r>
        <w:rPr>
          <w:rFonts w:hint="eastAsia" w:ascii="楷体_GB2312" w:hAnsi="楷体_GB2312" w:eastAsia="楷体_GB2312" w:cs="楷体_GB2312"/>
          <w:b/>
          <w:bCs w:val="0"/>
          <w:color w:val="000000"/>
          <w:sz w:val="32"/>
          <w:szCs w:val="32"/>
        </w:rPr>
        <w:t>年重点工作完成情况。</w:t>
      </w:r>
      <w:bookmarkEnd w:id="22"/>
      <w:bookmarkEnd w:id="23"/>
    </w:p>
    <w:p>
      <w:pPr>
        <w:pBdr>
          <w:bottom w:val="single" w:color="FFFFFF" w:sz="4" w:space="31"/>
        </w:pBdr>
        <w:topLinePunct/>
        <w:adjustRightInd w:val="0"/>
        <w:snapToGrid w:val="0"/>
        <w:spacing w:line="560" w:lineRule="exact"/>
        <w:ind w:firstLine="642" w:firstLineChars="200"/>
        <w:rPr>
          <w:rFonts w:ascii="仿宋_GB2312" w:hAnsi="仿宋_GB2312" w:eastAsia="仿宋_GB2312" w:cs="仿宋_GB2312"/>
          <w:sz w:val="32"/>
          <w:szCs w:val="32"/>
        </w:rPr>
      </w:pPr>
      <w:r>
        <w:rPr>
          <w:rFonts w:hint="eastAsia" w:ascii="楷体_GB2312" w:eastAsia="楷体_GB2312"/>
          <w:b/>
          <w:bCs/>
          <w:sz w:val="32"/>
          <w:szCs w:val="32"/>
          <w:lang w:val="en-US" w:eastAsia="zh-CN"/>
        </w:rPr>
        <w:t>1.</w:t>
      </w:r>
      <w:r>
        <w:rPr>
          <w:rFonts w:hint="eastAsia" w:ascii="楷体_GB2312" w:eastAsia="楷体_GB2312"/>
          <w:b/>
          <w:bCs/>
          <w:sz w:val="32"/>
          <w:szCs w:val="32"/>
        </w:rPr>
        <w:t>持续推进住房保障工作。</w:t>
      </w:r>
      <w:r>
        <w:rPr>
          <w:rFonts w:hint="eastAsia" w:ascii="仿宋_GB2312" w:eastAsia="仿宋_GB2312"/>
          <w:b/>
          <w:bCs/>
          <w:sz w:val="32"/>
          <w:szCs w:val="32"/>
        </w:rPr>
        <w:t>一是持续巩固脱贫攻坚住房安全有保障工作。</w:t>
      </w:r>
      <w:r>
        <w:rPr>
          <w:rFonts w:hint="eastAsia" w:ascii="仿宋_GB2312" w:eastAsia="仿宋_GB2312"/>
          <w:sz w:val="32"/>
          <w:szCs w:val="32"/>
        </w:rPr>
        <w:t>全州开展了脱贫攻坚住房安全有保障核验工作，共核验建档立卡贫困户26367户，核验率100%。完成了2020年715户土坯房建设任务。二</w:t>
      </w:r>
      <w:r>
        <w:rPr>
          <w:rFonts w:hint="eastAsia" w:ascii="仿宋_GB2312" w:eastAsia="仿宋_GB2312"/>
          <w:b/>
          <w:bCs/>
          <w:sz w:val="32"/>
          <w:szCs w:val="32"/>
        </w:rPr>
        <w:t>是全面启动老旧小区改造工作。</w:t>
      </w:r>
      <w:r>
        <w:rPr>
          <w:rFonts w:hint="eastAsia" w:ascii="仿宋_GB2312" w:eastAsia="仿宋_GB2312"/>
          <w:sz w:val="32"/>
          <w:szCs w:val="32"/>
        </w:rPr>
        <w:t>申报城镇老旧小区改造计划</w:t>
      </w:r>
      <w:r>
        <w:rPr>
          <w:rFonts w:hint="eastAsia" w:ascii="仿宋_GB2312" w:hAnsi="仿宋_GB2312" w:eastAsia="仿宋_GB2312" w:cs="仿宋_GB2312"/>
          <w:sz w:val="32"/>
          <w:szCs w:val="32"/>
        </w:rPr>
        <w:t>13个</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涉及马尔康市、汶川县、壤塘县、金川县4个县（市），改造房屋170栋，建筑面积37.57万平方米，涉改住户4185户，预计投资6933.1万元</w:t>
      </w:r>
      <w:r>
        <w:rPr>
          <w:rFonts w:hint="eastAsia" w:ascii="仿宋_GB2312" w:eastAsia="仿宋_GB2312"/>
          <w:sz w:val="32"/>
          <w:szCs w:val="32"/>
        </w:rPr>
        <w:t>。三</w:t>
      </w:r>
      <w:r>
        <w:rPr>
          <w:rFonts w:hint="eastAsia" w:ascii="仿宋_GB2312" w:hAnsi="楷体_GB2312" w:eastAsia="仿宋_GB2312" w:cs="楷体_GB2312"/>
          <w:b/>
          <w:bCs/>
          <w:sz w:val="32"/>
          <w:szCs w:val="32"/>
        </w:rPr>
        <w:t>是加强全州房屋交易管理。</w:t>
      </w:r>
      <w:r>
        <w:rPr>
          <w:rFonts w:hint="eastAsia" w:ascii="仿宋_GB2312" w:hAnsi="仿宋_GB2312" w:eastAsia="仿宋_GB2312" w:cs="仿宋_GB2312"/>
          <w:sz w:val="32"/>
          <w:szCs w:val="32"/>
        </w:rPr>
        <w:t>建立全州统一的商品房和存量房网签备案系统，完成了全州房地产市场信息平台迁入州政府政务云平台。</w:t>
      </w:r>
      <w:r>
        <w:rPr>
          <w:rFonts w:hint="eastAsia" w:ascii="仿宋_GB2312" w:eastAsia="仿宋_GB2312"/>
          <w:sz w:val="32"/>
          <w:szCs w:val="32"/>
        </w:rPr>
        <w:t>2020年全州商</w:t>
      </w:r>
      <w:r>
        <w:rPr>
          <w:rFonts w:hint="eastAsia" w:ascii="仿宋_GB2312" w:hAnsi="仿宋_GB2312" w:eastAsia="仿宋_GB2312" w:cs="仿宋_GB2312"/>
          <w:sz w:val="32"/>
          <w:szCs w:val="32"/>
        </w:rPr>
        <w:t>品房销售面积预计完成12万平方米，2020年全州二手房成交面积预计约11.88万平方米。</w:t>
      </w:r>
    </w:p>
    <w:p>
      <w:pPr>
        <w:pBdr>
          <w:bottom w:val="single" w:color="FFFFFF" w:sz="4" w:space="31"/>
        </w:pBdr>
        <w:topLinePunct/>
        <w:adjustRightInd w:val="0"/>
        <w:snapToGrid w:val="0"/>
        <w:spacing w:line="560" w:lineRule="exact"/>
        <w:ind w:firstLine="642" w:firstLineChars="200"/>
        <w:rPr>
          <w:rFonts w:ascii="仿宋_GB2312" w:eastAsia="仿宋_GB2312"/>
          <w:sz w:val="32"/>
          <w:szCs w:val="32"/>
        </w:rPr>
      </w:pPr>
      <w:r>
        <w:rPr>
          <w:rFonts w:hint="eastAsia" w:ascii="楷体_GB2312" w:hAnsi="仿宋_GB2312" w:eastAsia="楷体_GB2312" w:cs="仿宋_GB2312"/>
          <w:b/>
          <w:bCs/>
          <w:sz w:val="32"/>
          <w:szCs w:val="32"/>
          <w:lang w:val="en-US" w:eastAsia="zh-CN"/>
        </w:rPr>
        <w:t>2.</w:t>
      </w:r>
      <w:r>
        <w:rPr>
          <w:rFonts w:hint="eastAsia" w:ascii="楷体_GB2312" w:hAnsi="仿宋_GB2312" w:eastAsia="楷体_GB2312" w:cs="仿宋_GB2312"/>
          <w:b/>
          <w:bCs/>
          <w:sz w:val="32"/>
          <w:szCs w:val="32"/>
        </w:rPr>
        <w:t>有力有序推进城乡建设。</w:t>
      </w:r>
      <w:r>
        <w:rPr>
          <w:rFonts w:hint="eastAsia" w:ascii="仿宋_GB2312" w:hAnsi="仿宋_GB2312" w:eastAsia="仿宋_GB2312" w:cs="仿宋_GB2312"/>
          <w:b/>
          <w:bCs/>
          <w:sz w:val="32"/>
          <w:szCs w:val="32"/>
        </w:rPr>
        <w:t>一是</w:t>
      </w:r>
      <w:r>
        <w:rPr>
          <w:rFonts w:hint="eastAsia" w:ascii="仿宋_GB2312" w:eastAsia="仿宋_GB2312"/>
          <w:sz w:val="32"/>
          <w:szCs w:val="32"/>
        </w:rPr>
        <w:t>2020年底，全州常住人口城镇化率达42 %,城镇建成区面积达97.3平方公里</w:t>
      </w:r>
      <w:r>
        <w:rPr>
          <w:rFonts w:hint="eastAsia" w:ascii="仿宋_GB2312" w:hAnsi="楷体" w:eastAsia="仿宋_GB2312"/>
          <w:sz w:val="32"/>
          <w:szCs w:val="32"/>
        </w:rPr>
        <w:t>。</w:t>
      </w:r>
      <w:r>
        <w:rPr>
          <w:rFonts w:hint="eastAsia" w:ascii="仿宋_GB2312" w:hAnsi="楷体" w:eastAsia="仿宋_GB2312"/>
          <w:b/>
          <w:sz w:val="32"/>
          <w:szCs w:val="32"/>
        </w:rPr>
        <w:t>二是</w:t>
      </w:r>
      <w:r>
        <w:rPr>
          <w:rFonts w:hint="eastAsia" w:ascii="仿宋_GB2312" w:eastAsia="仿宋_GB2312"/>
          <w:sz w:val="32"/>
          <w:szCs w:val="32"/>
        </w:rPr>
        <w:t>茂县叠溪镇、壤塘县中壤塘镇2个</w:t>
      </w:r>
      <w:r>
        <w:rPr>
          <w:rFonts w:hint="eastAsia" w:ascii="仿宋_GB2312" w:hAnsi="黑体" w:eastAsia="仿宋_GB2312"/>
          <w:sz w:val="32"/>
          <w:szCs w:val="32"/>
        </w:rPr>
        <w:t>百镇建设试点镇</w:t>
      </w:r>
      <w:r>
        <w:rPr>
          <w:rFonts w:hint="eastAsia" w:ascii="仿宋_GB2312" w:eastAsia="仿宋_GB2312"/>
          <w:sz w:val="32"/>
          <w:szCs w:val="32"/>
        </w:rPr>
        <w:t>通过考核验收</w:t>
      </w:r>
      <w:r>
        <w:rPr>
          <w:rFonts w:hint="eastAsia" w:ascii="仿宋_GB2312" w:hAnsi="黑体" w:eastAsia="仿宋_GB2312"/>
          <w:sz w:val="32"/>
          <w:szCs w:val="32"/>
        </w:rPr>
        <w:t>。</w:t>
      </w:r>
      <w:r>
        <w:rPr>
          <w:rFonts w:hint="eastAsia" w:ascii="仿宋_GB2312" w:hAnsi="楷体" w:eastAsia="仿宋_GB2312"/>
          <w:sz w:val="32"/>
          <w:szCs w:val="32"/>
        </w:rPr>
        <w:t>召开全州新型城镇化建设发展大会，全面启动</w:t>
      </w:r>
      <w:r>
        <w:rPr>
          <w:rFonts w:hint="eastAsia" w:ascii="仿宋_GB2312" w:eastAsia="仿宋_GB2312"/>
          <w:color w:val="000000"/>
          <w:sz w:val="32"/>
          <w:szCs w:val="32"/>
        </w:rPr>
        <w:t>中心镇和州级特色小镇创建培育工作。</w:t>
      </w:r>
      <w:r>
        <w:rPr>
          <w:rFonts w:hint="eastAsia" w:ascii="仿宋_GB2312" w:eastAsia="仿宋_GB2312"/>
          <w:b/>
          <w:color w:val="000000"/>
          <w:sz w:val="32"/>
          <w:szCs w:val="32"/>
        </w:rPr>
        <w:t>三是</w:t>
      </w:r>
      <w:r>
        <w:rPr>
          <w:rFonts w:ascii="仿宋_GB2312" w:eastAsia="仿宋_GB2312"/>
          <w:sz w:val="32"/>
          <w:szCs w:val="32"/>
        </w:rPr>
        <w:t>2020</w:t>
      </w:r>
      <w:r>
        <w:rPr>
          <w:rFonts w:hint="eastAsia" w:ascii="仿宋_GB2312" w:eastAsia="仿宋_GB2312"/>
          <w:sz w:val="32"/>
          <w:szCs w:val="32"/>
        </w:rPr>
        <w:t>年，新改建公厕</w:t>
      </w:r>
      <w:r>
        <w:rPr>
          <w:rFonts w:ascii="仿宋_GB2312" w:eastAsia="仿宋_GB2312"/>
          <w:sz w:val="32"/>
          <w:szCs w:val="32"/>
        </w:rPr>
        <w:t>174</w:t>
      </w:r>
      <w:r>
        <w:rPr>
          <w:rFonts w:hint="eastAsia" w:ascii="仿宋_GB2312" w:eastAsia="仿宋_GB2312"/>
          <w:sz w:val="32"/>
          <w:szCs w:val="32"/>
        </w:rPr>
        <w:t>座、农村户厕19025座，预计年底全部完成。</w:t>
      </w:r>
      <w:r>
        <w:rPr>
          <w:rFonts w:hint="eastAsia" w:ascii="仿宋_GB2312" w:eastAsia="仿宋_GB2312"/>
          <w:b/>
          <w:bCs/>
          <w:sz w:val="32"/>
          <w:szCs w:val="32"/>
        </w:rPr>
        <w:t>四是</w:t>
      </w:r>
      <w:r>
        <w:rPr>
          <w:rFonts w:hint="eastAsia" w:ascii="仿宋_GB2312" w:hAnsi="Calibri" w:eastAsia="仿宋_GB2312" w:cs="Times New Roman"/>
          <w:sz w:val="32"/>
          <w:szCs w:val="32"/>
        </w:rPr>
        <w:t>县城污水处理率达</w:t>
      </w:r>
      <w:r>
        <w:rPr>
          <w:rFonts w:hint="eastAsia" w:ascii="仿宋_GB2312" w:eastAsia="仿宋_GB2312" w:cs="Times New Roman"/>
          <w:sz w:val="32"/>
          <w:szCs w:val="32"/>
        </w:rPr>
        <w:t>70</w:t>
      </w:r>
      <w:r>
        <w:rPr>
          <w:rFonts w:ascii="仿宋_GB2312" w:hAnsi="Calibri" w:eastAsia="仿宋_GB2312" w:cs="Times New Roman"/>
          <w:sz w:val="32"/>
          <w:szCs w:val="32"/>
        </w:rPr>
        <w:t>%</w:t>
      </w:r>
      <w:r>
        <w:rPr>
          <w:rFonts w:hint="eastAsia" w:ascii="仿宋_GB2312" w:hAnsi="Calibri" w:eastAsia="仿宋_GB2312" w:cs="Times New Roman"/>
          <w:sz w:val="32"/>
          <w:szCs w:val="32"/>
        </w:rPr>
        <w:t>，</w:t>
      </w:r>
      <w:r>
        <w:rPr>
          <w:rFonts w:hint="eastAsia" w:ascii="仿宋_GB2312" w:hAnsi="Calibri" w:eastAsia="仿宋_GB2312" w:cs="Times New Roman"/>
          <w:color w:val="000000" w:themeColor="text1"/>
          <w:sz w:val="32"/>
          <w:szCs w:val="32"/>
          <w14:textFill>
            <w14:solidFill>
              <w14:schemeClr w14:val="tx1"/>
            </w14:solidFill>
          </w14:textFill>
        </w:rPr>
        <w:t>建成建制镇污水覆盖率达</w:t>
      </w:r>
      <w:r>
        <w:rPr>
          <w:rFonts w:hint="eastAsia" w:ascii="仿宋_GB2312" w:eastAsia="仿宋_GB2312" w:cs="Times New Roman"/>
          <w:color w:val="000000" w:themeColor="text1"/>
          <w:sz w:val="32"/>
          <w:szCs w:val="32"/>
          <w14:textFill>
            <w14:solidFill>
              <w14:schemeClr w14:val="tx1"/>
            </w14:solidFill>
          </w14:textFill>
        </w:rPr>
        <w:t>67</w:t>
      </w:r>
      <w:r>
        <w:rPr>
          <w:rFonts w:ascii="仿宋_GB2312" w:hAnsi="Calibri" w:eastAsia="仿宋_GB2312" w:cs="Times New Roman"/>
          <w:color w:val="000000" w:themeColor="text1"/>
          <w:sz w:val="32"/>
          <w:szCs w:val="32"/>
          <w14:textFill>
            <w14:solidFill>
              <w14:schemeClr w14:val="tx1"/>
            </w14:solidFill>
          </w14:textFill>
        </w:rPr>
        <w:t>%</w:t>
      </w:r>
      <w:r>
        <w:rPr>
          <w:rFonts w:hint="eastAsia" w:ascii="仿宋_GB2312" w:hAnsi="Calibri" w:eastAsia="仿宋_GB2312" w:cs="Times New Roman"/>
          <w:color w:val="000000" w:themeColor="text1"/>
          <w:sz w:val="32"/>
          <w:szCs w:val="32"/>
          <w14:textFill>
            <w14:solidFill>
              <w14:schemeClr w14:val="tx1"/>
            </w14:solidFill>
          </w14:textFill>
        </w:rPr>
        <w:t>，</w:t>
      </w:r>
      <w:r>
        <w:rPr>
          <w:rFonts w:hint="eastAsia" w:ascii="仿宋_GB2312" w:hAnsi="仿宋" w:eastAsia="仿宋_GB2312"/>
          <w:sz w:val="32"/>
          <w:szCs w:val="32"/>
        </w:rPr>
        <w:t>城市（县城）生活垃圾处理率达95</w:t>
      </w:r>
      <w:r>
        <w:rPr>
          <w:rFonts w:ascii="仿宋_GB2312" w:hAnsi="仿宋" w:eastAsia="仿宋_GB2312"/>
          <w:sz w:val="32"/>
          <w:szCs w:val="32"/>
        </w:rPr>
        <w:t>%</w:t>
      </w:r>
      <w:r>
        <w:rPr>
          <w:rFonts w:hint="eastAsia" w:ascii="仿宋_GB2312" w:hAnsi="仿宋" w:eastAsia="仿宋_GB2312"/>
          <w:sz w:val="32"/>
          <w:szCs w:val="32"/>
        </w:rPr>
        <w:t>。</w:t>
      </w:r>
      <w:r>
        <w:rPr>
          <w:rFonts w:hint="eastAsia" w:ascii="仿宋_GB2312" w:eastAsia="仿宋_GB2312"/>
          <w:b/>
          <w:bCs/>
          <w:sz w:val="32"/>
          <w:szCs w:val="32"/>
        </w:rPr>
        <w:t>五是</w:t>
      </w:r>
      <w:r>
        <w:rPr>
          <w:rFonts w:hint="eastAsia" w:ascii="仿宋_GB2312" w:eastAsia="仿宋_GB2312"/>
          <w:sz w:val="32"/>
          <w:szCs w:val="32"/>
        </w:rPr>
        <w:t>常态开展白河巡河检查7次，发现流域内14个问题、已完成整治8个。</w:t>
      </w:r>
      <w:r>
        <w:rPr>
          <w:rFonts w:hint="eastAsia" w:ascii="仿宋_GB2312" w:eastAsia="仿宋_GB2312"/>
          <w:b/>
          <w:bCs/>
          <w:sz w:val="32"/>
          <w:szCs w:val="32"/>
        </w:rPr>
        <w:t>六是</w:t>
      </w:r>
      <w:r>
        <w:rPr>
          <w:rFonts w:hint="eastAsia" w:ascii="仿宋_GB2312" w:hAnsi="仿宋" w:eastAsia="仿宋_GB2312"/>
          <w:sz w:val="32"/>
          <w:szCs w:val="32"/>
        </w:rPr>
        <w:t>不断</w:t>
      </w:r>
      <w:r>
        <w:rPr>
          <w:rFonts w:hint="eastAsia" w:ascii="仿宋_GB2312" w:eastAsia="仿宋_GB2312"/>
          <w:sz w:val="32"/>
          <w:szCs w:val="32"/>
        </w:rPr>
        <w:t>加强城管队伍建设，</w:t>
      </w:r>
      <w:r>
        <w:rPr>
          <w:rFonts w:hint="eastAsia" w:ascii="仿宋_GB2312" w:hAnsi="仿宋" w:eastAsia="仿宋_GB2312"/>
          <w:sz w:val="32"/>
          <w:szCs w:val="32"/>
        </w:rPr>
        <w:t>提升城市管理水平，推动人居环境进一步改善，提升群众满意度。</w:t>
      </w:r>
    </w:p>
    <w:p>
      <w:pPr>
        <w:pBdr>
          <w:bottom w:val="single" w:color="FFFFFF" w:sz="4" w:space="31"/>
        </w:pBdr>
        <w:topLinePunct/>
        <w:adjustRightInd w:val="0"/>
        <w:snapToGrid w:val="0"/>
        <w:spacing w:line="560" w:lineRule="exact"/>
        <w:ind w:firstLine="642" w:firstLineChars="200"/>
        <w:rPr>
          <w:rFonts w:ascii="仿宋_GB2312" w:eastAsia="仿宋_GB2312"/>
          <w:sz w:val="32"/>
          <w:szCs w:val="32"/>
        </w:rPr>
      </w:pPr>
      <w:r>
        <w:rPr>
          <w:rFonts w:hint="eastAsia" w:ascii="楷体_GB2312" w:hAnsi="仿宋_GB2312" w:eastAsia="楷体_GB2312" w:cs="仿宋_GB2312"/>
          <w:b/>
          <w:bCs/>
          <w:sz w:val="32"/>
          <w:szCs w:val="32"/>
          <w:lang w:val="en-US" w:eastAsia="zh-CN"/>
        </w:rPr>
        <w:t>3.</w:t>
      </w:r>
      <w:r>
        <w:rPr>
          <w:rFonts w:hint="eastAsia" w:ascii="楷体_GB2312" w:hAnsi="仿宋_GB2312" w:eastAsia="楷体_GB2312" w:cs="仿宋_GB2312"/>
          <w:b/>
          <w:bCs/>
          <w:sz w:val="32"/>
          <w:szCs w:val="32"/>
        </w:rPr>
        <w:t>加快推进完成项目建设。</w:t>
      </w:r>
      <w:r>
        <w:rPr>
          <w:rFonts w:hint="eastAsia" w:ascii="仿宋_GB2312" w:hAnsi="楷体" w:eastAsia="仿宋_GB2312"/>
          <w:b/>
          <w:sz w:val="32"/>
          <w:szCs w:val="32"/>
        </w:rPr>
        <w:t>一是</w:t>
      </w:r>
      <w:r>
        <w:rPr>
          <w:rFonts w:hint="eastAsia" w:ascii="仿宋_GB2312" w:eastAsia="仿宋_GB2312"/>
          <w:b/>
          <w:bCs/>
          <w:color w:val="000000"/>
          <w:sz w:val="32"/>
          <w:szCs w:val="36"/>
        </w:rPr>
        <w:t>全面完成</w:t>
      </w:r>
      <w:r>
        <w:rPr>
          <w:rFonts w:hint="eastAsia" w:ascii="仿宋_GB2312" w:eastAsia="仿宋_GB2312"/>
          <w:b/>
          <w:bCs/>
          <w:color w:val="000000"/>
          <w:sz w:val="32"/>
          <w:szCs w:val="32"/>
        </w:rPr>
        <w:t>项目建设任务。</w:t>
      </w:r>
      <w:r>
        <w:rPr>
          <w:rFonts w:hint="eastAsia" w:ascii="仿宋_GB2312" w:eastAsia="仿宋_GB2312"/>
          <w:color w:val="000000"/>
          <w:sz w:val="32"/>
          <w:szCs w:val="32"/>
        </w:rPr>
        <w:t>住建系统省州重点项目总计10个（其中省重点项目1个、州重点项目9个，计划总投资42.28亿元），预计能</w:t>
      </w:r>
      <w:r>
        <w:rPr>
          <w:rFonts w:hint="eastAsia" w:ascii="仿宋_GB2312" w:hAnsi="仿宋_GB2312" w:eastAsia="仿宋_GB2312" w:cs="仿宋_GB2312"/>
          <w:color w:val="000000"/>
          <w:sz w:val="32"/>
          <w:szCs w:val="32"/>
        </w:rPr>
        <w:t>完成年度投资8.61亿元。</w:t>
      </w:r>
      <w:r>
        <w:rPr>
          <w:rFonts w:hint="eastAsia" w:ascii="仿宋_GB2312" w:eastAsia="仿宋_GB2312"/>
          <w:color w:val="000000"/>
          <w:sz w:val="32"/>
          <w:szCs w:val="32"/>
        </w:rPr>
        <w:t>推进37个在建县城市政基础设施项目，完成投资5.56亿元。</w:t>
      </w:r>
      <w:r>
        <w:rPr>
          <w:rFonts w:hint="eastAsia" w:ascii="仿宋_GB2312" w:eastAsia="仿宋_GB2312"/>
          <w:b/>
          <w:bCs/>
          <w:color w:val="000000"/>
          <w:sz w:val="32"/>
          <w:szCs w:val="36"/>
        </w:rPr>
        <w:t>二是</w:t>
      </w:r>
      <w:r>
        <w:rPr>
          <w:rFonts w:hint="eastAsia" w:ascii="仿宋_GB2312" w:eastAsia="仿宋_GB2312"/>
          <w:b/>
          <w:bCs/>
          <w:color w:val="000000"/>
          <w:sz w:val="32"/>
          <w:szCs w:val="32"/>
        </w:rPr>
        <w:t>有序推进“老三推”项目。</w:t>
      </w:r>
      <w:r>
        <w:rPr>
          <w:rFonts w:hint="eastAsia" w:ascii="仿宋_GB2312" w:eastAsia="仿宋_GB2312"/>
          <w:color w:val="000000"/>
          <w:sz w:val="32"/>
          <w:szCs w:val="32"/>
        </w:rPr>
        <w:t>我州涉及污水设施“老三推”（</w:t>
      </w:r>
      <w:r>
        <w:rPr>
          <w:rFonts w:ascii="仿宋_GB2312" w:eastAsia="仿宋_GB2312"/>
          <w:color w:val="000000"/>
          <w:sz w:val="32"/>
          <w:szCs w:val="32"/>
        </w:rPr>
        <w:t>2017</w:t>
      </w:r>
      <w:r>
        <w:rPr>
          <w:rFonts w:hint="eastAsia" w:ascii="仿宋_GB2312" w:eastAsia="仿宋_GB2312"/>
          <w:color w:val="000000"/>
          <w:sz w:val="32"/>
          <w:szCs w:val="32"/>
        </w:rPr>
        <w:t>年至</w:t>
      </w:r>
      <w:r>
        <w:rPr>
          <w:rFonts w:ascii="仿宋_GB2312" w:eastAsia="仿宋_GB2312"/>
          <w:color w:val="000000"/>
          <w:sz w:val="32"/>
          <w:szCs w:val="32"/>
        </w:rPr>
        <w:t>2019</w:t>
      </w:r>
      <w:r>
        <w:rPr>
          <w:rFonts w:hint="eastAsia" w:ascii="仿宋_GB2312" w:eastAsia="仿宋_GB2312"/>
          <w:color w:val="000000"/>
          <w:sz w:val="32"/>
          <w:szCs w:val="32"/>
        </w:rPr>
        <w:t>年）项目共计51个，总投资10.7亿元，预计年底可全部完工并投入运行。三</w:t>
      </w:r>
      <w:r>
        <w:rPr>
          <w:rFonts w:hint="eastAsia" w:ascii="仿宋_GB2312" w:eastAsia="仿宋_GB2312"/>
          <w:b/>
          <w:bCs/>
          <w:color w:val="000000"/>
          <w:sz w:val="32"/>
          <w:szCs w:val="36"/>
        </w:rPr>
        <w:t>是</w:t>
      </w:r>
      <w:r>
        <w:rPr>
          <w:rFonts w:hint="eastAsia" w:ascii="仿宋_GB2312" w:hAnsi="楷体" w:eastAsia="仿宋_GB2312"/>
          <w:b/>
          <w:sz w:val="32"/>
          <w:szCs w:val="32"/>
        </w:rPr>
        <w:t>加快项目储备。</w:t>
      </w:r>
      <w:r>
        <w:rPr>
          <w:rFonts w:hint="eastAsia" w:ascii="仿宋_GB2312" w:eastAsia="仿宋_GB2312"/>
          <w:color w:val="000000"/>
          <w:sz w:val="32"/>
          <w:szCs w:val="36"/>
        </w:rPr>
        <w:t>储备灾后建设项目46个，总计3.2亿元；储备新型城镇化建设项目566个，总计363.9亿元；储备十四五涉藏专项住建领域建设项目514个，计划总投资511.9亿元。</w:t>
      </w:r>
      <w:r>
        <w:rPr>
          <w:rFonts w:hint="eastAsia" w:ascii="仿宋_GB2312" w:eastAsia="仿宋_GB2312"/>
          <w:sz w:val="32"/>
          <w:szCs w:val="32"/>
        </w:rPr>
        <w:t xml:space="preserve">  </w:t>
      </w:r>
    </w:p>
    <w:p>
      <w:pPr>
        <w:pBdr>
          <w:bottom w:val="single" w:color="FFFFFF" w:sz="4" w:space="31"/>
        </w:pBdr>
        <w:topLinePunct/>
        <w:adjustRightInd w:val="0"/>
        <w:snapToGrid w:val="0"/>
        <w:spacing w:line="560" w:lineRule="exact"/>
        <w:ind w:firstLine="642" w:firstLineChars="200"/>
        <w:rPr>
          <w:color w:val="000000" w:themeColor="text1"/>
          <w14:textFill>
            <w14:solidFill>
              <w14:schemeClr w14:val="tx1"/>
            </w14:solidFill>
          </w14:textFill>
        </w:rPr>
      </w:pPr>
      <w:r>
        <w:rPr>
          <w:rFonts w:hint="eastAsia" w:ascii="楷体_GB2312" w:hAnsi="仿宋_GB2312" w:eastAsia="楷体_GB2312" w:cs="仿宋_GB2312"/>
          <w:b/>
          <w:bCs/>
          <w:sz w:val="32"/>
          <w:szCs w:val="32"/>
          <w:lang w:val="en-US" w:eastAsia="zh-CN"/>
        </w:rPr>
        <w:t>4.</w:t>
      </w:r>
      <w:r>
        <w:rPr>
          <w:rFonts w:hint="eastAsia" w:ascii="楷体_GB2312" w:hAnsi="仿宋_GB2312" w:eastAsia="楷体_GB2312" w:cs="仿宋_GB2312"/>
          <w:b/>
          <w:bCs/>
          <w:sz w:val="32"/>
          <w:szCs w:val="32"/>
        </w:rPr>
        <w:t>进一步提升行业管理水平。</w:t>
      </w:r>
      <w:r>
        <w:rPr>
          <w:rFonts w:hint="eastAsia" w:ascii="仿宋_GB2312" w:eastAsia="仿宋_GB2312"/>
          <w:b/>
          <w:color w:val="000000" w:themeColor="text1"/>
          <w:sz w:val="32"/>
          <w:szCs w:val="32"/>
          <w14:textFill>
            <w14:solidFill>
              <w14:schemeClr w14:val="tx1"/>
            </w14:solidFill>
          </w14:textFill>
        </w:rPr>
        <w:t>一是</w:t>
      </w:r>
      <w:r>
        <w:rPr>
          <w:rFonts w:ascii="仿宋_GB2312" w:eastAsia="仿宋_GB2312"/>
          <w:b/>
          <w:bCs/>
          <w:color w:val="000000" w:themeColor="text1"/>
          <w:sz w:val="32"/>
          <w:szCs w:val="32"/>
          <w14:textFill>
            <w14:solidFill>
              <w14:schemeClr w14:val="tx1"/>
            </w14:solidFill>
          </w14:textFill>
        </w:rPr>
        <w:t>建筑行业平稳发展</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全州实现</w:t>
      </w:r>
      <w:r>
        <w:rPr>
          <w:rFonts w:hint="eastAsia" w:ascii="仿宋_GB2312" w:eastAsia="仿宋_GB2312"/>
          <w:color w:val="000000" w:themeColor="text1"/>
          <w:sz w:val="32"/>
          <w:szCs w:val="32"/>
          <w14:textFill>
            <w14:solidFill>
              <w14:schemeClr w14:val="tx1"/>
            </w14:solidFill>
          </w14:textFill>
        </w:rPr>
        <w:t>建筑业总产值38.07亿元，较2019年同期增长10.57%，实现建筑业增加值13.68亿元，较去年同期增长2.0%。预计全年实现建筑业总产值70亿元，较2019年增长7.8%。实现建筑业增加值18亿元，去年同期增长12%。</w:t>
      </w:r>
      <w:r>
        <w:rPr>
          <w:rFonts w:ascii="仿宋_GB2312" w:eastAsia="仿宋_GB2312"/>
          <w:b/>
          <w:color w:val="000000" w:themeColor="text1"/>
          <w:sz w:val="32"/>
          <w:szCs w:val="32"/>
          <w14:textFill>
            <w14:solidFill>
              <w14:schemeClr w14:val="tx1"/>
            </w14:solidFill>
          </w14:textFill>
        </w:rPr>
        <w:t>二</w:t>
      </w:r>
      <w:r>
        <w:rPr>
          <w:rFonts w:hint="eastAsia" w:ascii="仿宋_GB2312" w:eastAsia="仿宋_GB2312"/>
          <w:b/>
          <w:color w:val="000000" w:themeColor="text1"/>
          <w:sz w:val="32"/>
          <w:szCs w:val="32"/>
          <w14:textFill>
            <w14:solidFill>
              <w14:schemeClr w14:val="tx1"/>
            </w14:solidFill>
          </w14:textFill>
        </w:rPr>
        <w:t>是建筑</w:t>
      </w:r>
      <w:r>
        <w:rPr>
          <w:rFonts w:hint="eastAsia" w:ascii="仿宋_GB2312" w:eastAsia="仿宋_GB2312"/>
          <w:b/>
          <w:bCs/>
          <w:color w:val="000000" w:themeColor="text1"/>
          <w:sz w:val="32"/>
          <w:szCs w:val="32"/>
          <w14:textFill>
            <w14:solidFill>
              <w14:schemeClr w14:val="tx1"/>
            </w14:solidFill>
          </w14:textFill>
        </w:rPr>
        <w:t>市场</w:t>
      </w:r>
      <w:r>
        <w:rPr>
          <w:rFonts w:ascii="仿宋_GB2312" w:eastAsia="仿宋_GB2312"/>
          <w:b/>
          <w:bCs/>
          <w:color w:val="000000" w:themeColor="text1"/>
          <w:sz w:val="32"/>
          <w:szCs w:val="32"/>
          <w14:textFill>
            <w14:solidFill>
              <w14:schemeClr w14:val="tx1"/>
            </w14:solidFill>
          </w14:textFill>
        </w:rPr>
        <w:t>进一步</w:t>
      </w:r>
      <w:r>
        <w:rPr>
          <w:rFonts w:hint="eastAsia" w:ascii="仿宋_GB2312" w:eastAsia="仿宋_GB2312"/>
          <w:b/>
          <w:bCs/>
          <w:color w:val="000000" w:themeColor="text1"/>
          <w:sz w:val="32"/>
          <w:szCs w:val="32"/>
          <w14:textFill>
            <w14:solidFill>
              <w14:schemeClr w14:val="tx1"/>
            </w14:solidFill>
          </w14:textFill>
        </w:rPr>
        <w:t>规范</w:t>
      </w:r>
      <w:r>
        <w:rPr>
          <w:rFonts w:ascii="仿宋_GB2312" w:eastAsia="仿宋_GB2312"/>
          <w:b/>
          <w:bCs/>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开展建筑企业业绩专项核查，</w:t>
      </w:r>
      <w:r>
        <w:rPr>
          <w:rFonts w:hint="eastAsia" w:ascii="仿宋_GB2312" w:eastAsia="仿宋_GB2312" w:cs="Times New Roman"/>
          <w:color w:val="000000" w:themeColor="text1"/>
          <w:sz w:val="32"/>
          <w:szCs w:val="32"/>
          <w14:textFill>
            <w14:solidFill>
              <w14:schemeClr w14:val="tx1"/>
            </w14:solidFill>
          </w14:textFill>
        </w:rPr>
        <w:t>对</w:t>
      </w:r>
      <w:r>
        <w:rPr>
          <w:rFonts w:hint="eastAsia" w:ascii="仿宋_GB2312" w:eastAsia="仿宋_GB2312" w:cs="Times New Roman"/>
          <w:color w:val="000000" w:themeColor="text1"/>
          <w:sz w:val="32"/>
          <w:szCs w:val="32"/>
          <w:lang w:eastAsia="zh-CN"/>
          <w14:textFill>
            <w14:solidFill>
              <w14:schemeClr w14:val="tx1"/>
            </w14:solidFill>
          </w14:textFill>
        </w:rPr>
        <w:t>2019</w:t>
      </w:r>
      <w:r>
        <w:rPr>
          <w:rFonts w:hint="eastAsia" w:ascii="仿宋_GB2312" w:eastAsia="仿宋_GB2312" w:cs="Times New Roman"/>
          <w:color w:val="000000" w:themeColor="text1"/>
          <w:sz w:val="32"/>
          <w:szCs w:val="32"/>
          <w14:textFill>
            <w14:solidFill>
              <w14:schemeClr w14:val="tx1"/>
            </w14:solidFill>
          </w14:textFill>
        </w:rPr>
        <w:t>年5月至201</w:t>
      </w:r>
      <w:r>
        <w:rPr>
          <w:rFonts w:ascii="仿宋_GB2312" w:eastAsia="仿宋_GB2312" w:cs="Times New Roman"/>
          <w:color w:val="000000" w:themeColor="text1"/>
          <w:sz w:val="32"/>
          <w:szCs w:val="32"/>
          <w14:textFill>
            <w14:solidFill>
              <w14:schemeClr w14:val="tx1"/>
            </w14:solidFill>
          </w14:textFill>
        </w:rPr>
        <w:t>9</w:t>
      </w:r>
      <w:r>
        <w:rPr>
          <w:rFonts w:hint="eastAsia" w:ascii="仿宋_GB2312" w:eastAsia="仿宋_GB2312" w:cs="Times New Roman"/>
          <w:color w:val="000000" w:themeColor="text1"/>
          <w:sz w:val="32"/>
          <w:szCs w:val="32"/>
          <w14:textFill>
            <w14:solidFill>
              <w14:schemeClr w14:val="tx1"/>
            </w14:solidFill>
          </w14:textFill>
        </w:rPr>
        <w:t>年5月期间审核通过的1500余条业绩进行了全面核查，规范业绩审核行为。</w:t>
      </w:r>
      <w:r>
        <w:rPr>
          <w:rFonts w:ascii="仿宋_GB2312" w:eastAsia="仿宋_GB2312" w:cs="Times New Roman"/>
          <w:color w:val="000000" w:themeColor="text1"/>
          <w:sz w:val="32"/>
          <w:szCs w:val="32"/>
          <w14:textFill>
            <w14:solidFill>
              <w14:schemeClr w14:val="tx1"/>
            </w14:solidFill>
          </w14:textFill>
        </w:rPr>
        <w:t>开展招标投标专项治理，</w:t>
      </w:r>
      <w:r>
        <w:rPr>
          <w:rFonts w:hint="eastAsia" w:ascii="仿宋_GB2312" w:eastAsia="仿宋_GB2312" w:cs="Times New Roman"/>
          <w:color w:val="000000" w:themeColor="text1"/>
          <w:sz w:val="32"/>
          <w:szCs w:val="32"/>
          <w14:textFill>
            <w14:solidFill>
              <w14:schemeClr w14:val="tx1"/>
            </w14:solidFill>
          </w14:textFill>
        </w:rPr>
        <w:t>对全州2019年1月1日以来在阿坝州公共资源交易中心挂网招标的445个房屋建筑和市政工程项目实现了全覆盖自查，对发现的76个问题线索全部完成核查。</w:t>
      </w:r>
      <w:r>
        <w:rPr>
          <w:rFonts w:hint="eastAsia" w:ascii="仿宋_GB2312" w:eastAsia="仿宋_GB2312" w:cs="Times New Roman"/>
          <w:b/>
          <w:color w:val="000000" w:themeColor="text1"/>
          <w:sz w:val="32"/>
          <w:szCs w:val="32"/>
          <w14:textFill>
            <w14:solidFill>
              <w14:schemeClr w14:val="tx1"/>
            </w14:solidFill>
          </w14:textFill>
        </w:rPr>
        <w:t>三是</w:t>
      </w:r>
      <w:r>
        <w:rPr>
          <w:rFonts w:hint="eastAsia" w:ascii="仿宋_GB2312" w:eastAsia="仿宋_GB2312"/>
          <w:b/>
          <w:color w:val="000000" w:themeColor="text1"/>
          <w:sz w:val="32"/>
          <w:szCs w:val="32"/>
          <w14:textFill>
            <w14:solidFill>
              <w14:schemeClr w14:val="tx1"/>
            </w14:solidFill>
          </w14:textFill>
        </w:rPr>
        <w:t>营商环境进一步优化。</w:t>
      </w:r>
      <w:r>
        <w:rPr>
          <w:rFonts w:hint="eastAsia" w:ascii="仿宋_GB2312" w:eastAsia="仿宋_GB2312" w:cs="Times New Roman"/>
          <w:color w:val="000000" w:themeColor="text1"/>
          <w:sz w:val="32"/>
          <w:szCs w:val="32"/>
          <w14:textFill>
            <w14:solidFill>
              <w14:schemeClr w14:val="tx1"/>
            </w14:solidFill>
          </w14:textFill>
        </w:rPr>
        <w:t>建设完成阿坝州工程建设审批系统（房屋建筑和市政工程项目），</w:t>
      </w:r>
      <w:r>
        <w:rPr>
          <w:rFonts w:hint="eastAsia" w:ascii="仿宋_GB2312" w:eastAsia="仿宋_GB2312" w:cs="仿宋_GB2312"/>
          <w:color w:val="000000" w:themeColor="text1"/>
          <w:sz w:val="32"/>
          <w:szCs w:val="32"/>
          <w14:textFill>
            <w14:solidFill>
              <w14:schemeClr w14:val="tx1"/>
            </w14:solidFill>
          </w14:textFill>
        </w:rPr>
        <w:t>认领工程建设项目审批事项，配置了主题</w:t>
      </w:r>
      <w:r>
        <w:rPr>
          <w:rFonts w:ascii="仿宋_GB2312" w:eastAsia="仿宋_GB2312" w:cs="仿宋_GB2312"/>
          <w:color w:val="000000" w:themeColor="text1"/>
          <w:sz w:val="32"/>
          <w:szCs w:val="32"/>
          <w14:textFill>
            <w14:solidFill>
              <w14:schemeClr w14:val="tx1"/>
            </w14:solidFill>
          </w14:textFill>
        </w:rPr>
        <w:t>、场景</w:t>
      </w:r>
      <w:r>
        <w:rPr>
          <w:rFonts w:hint="eastAsia" w:ascii="仿宋_GB2312" w:eastAsia="仿宋_GB2312" w:cs="仿宋_GB2312"/>
          <w:color w:val="000000" w:themeColor="text1"/>
          <w:sz w:val="32"/>
          <w:szCs w:val="32"/>
          <w14:textFill>
            <w14:solidFill>
              <w14:schemeClr w14:val="tx1"/>
            </w14:solidFill>
          </w14:textFill>
        </w:rPr>
        <w:t>式服务事项，</w:t>
      </w:r>
      <w:r>
        <w:rPr>
          <w:rFonts w:ascii="仿宋_GB2312" w:eastAsia="仿宋_GB2312" w:cs="仿宋_GB2312"/>
          <w:color w:val="000000" w:themeColor="text1"/>
          <w:sz w:val="32"/>
          <w:szCs w:val="32"/>
          <w14:textFill>
            <w14:solidFill>
              <w14:schemeClr w14:val="tx1"/>
            </w14:solidFill>
          </w14:textFill>
        </w:rPr>
        <w:t>指导</w:t>
      </w:r>
      <w:r>
        <w:rPr>
          <w:rFonts w:hint="eastAsia" w:ascii="仿宋_GB2312" w:eastAsia="仿宋_GB2312" w:cs="仿宋_GB2312"/>
          <w:color w:val="000000" w:themeColor="text1"/>
          <w:sz w:val="32"/>
          <w:szCs w:val="32"/>
          <w14:textFill>
            <w14:solidFill>
              <w14:schemeClr w14:val="tx1"/>
            </w14:solidFill>
          </w14:textFill>
        </w:rPr>
        <w:t>中介服务</w:t>
      </w:r>
      <w:r>
        <w:rPr>
          <w:rFonts w:ascii="仿宋_GB2312" w:eastAsia="仿宋_GB2312" w:cs="仿宋_GB2312"/>
          <w:color w:val="000000" w:themeColor="text1"/>
          <w:sz w:val="32"/>
          <w:szCs w:val="32"/>
          <w14:textFill>
            <w14:solidFill>
              <w14:schemeClr w14:val="tx1"/>
            </w14:solidFill>
          </w14:textFill>
        </w:rPr>
        <w:t>、水电气信</w:t>
      </w:r>
      <w:r>
        <w:rPr>
          <w:rFonts w:hint="eastAsia" w:ascii="仿宋_GB2312" w:eastAsia="仿宋_GB2312" w:cs="仿宋_GB2312"/>
          <w:color w:val="000000" w:themeColor="text1"/>
          <w:sz w:val="32"/>
          <w:szCs w:val="32"/>
          <w14:textFill>
            <w14:solidFill>
              <w14:schemeClr w14:val="tx1"/>
            </w14:solidFill>
          </w14:textFill>
        </w:rPr>
        <w:t>机构入驻</w:t>
      </w:r>
      <w:r>
        <w:rPr>
          <w:rFonts w:hint="eastAsia" w:ascii="仿宋_GB2312" w:eastAsia="仿宋_GB2312" w:cs="Times New Roman"/>
          <w:color w:val="000000" w:themeColor="text1"/>
          <w:sz w:val="32"/>
          <w:szCs w:val="32"/>
          <w14:textFill>
            <w14:solidFill>
              <w14:schemeClr w14:val="tx1"/>
            </w14:solidFill>
          </w14:textFill>
        </w:rPr>
        <w:t>审批管理系统</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实现了将建筑工程审批时限压缩至120个工作日内的目标。</w:t>
      </w:r>
      <w:r>
        <w:rPr>
          <w:rFonts w:ascii="仿宋_GB2312" w:eastAsia="仿宋_GB2312" w:cs="仿宋_GB2312"/>
          <w:b/>
          <w:bCs/>
          <w:color w:val="000000" w:themeColor="text1"/>
          <w:sz w:val="32"/>
          <w:szCs w:val="32"/>
          <w14:textFill>
            <w14:solidFill>
              <w14:schemeClr w14:val="tx1"/>
            </w14:solidFill>
          </w14:textFill>
        </w:rPr>
        <w:t>四是招标投标活动有序规范</w:t>
      </w:r>
      <w:r>
        <w:rPr>
          <w:rFonts w:ascii="仿宋_GB2312" w:eastAsia="仿宋_GB2312" w:cs="仿宋_GB2312"/>
          <w:color w:val="000000" w:themeColor="text1"/>
          <w:sz w:val="32"/>
          <w:szCs w:val="32"/>
          <w14:textFill>
            <w14:solidFill>
              <w14:schemeClr w14:val="tx1"/>
            </w14:solidFill>
          </w14:textFill>
        </w:rPr>
        <w:t>。通过进一步落实招标人主体责任、规范工程招标投标事宜调、整招标投标活动监管方式等措施，规范了招标活动、</w:t>
      </w:r>
      <w:r>
        <w:rPr>
          <w:rFonts w:hint="eastAsia" w:ascii="仿宋_GB2312" w:eastAsia="仿宋_GB2312" w:cs="仿宋_GB2312"/>
          <w:color w:val="000000" w:themeColor="text1"/>
          <w:sz w:val="32"/>
          <w:szCs w:val="32"/>
          <w14:textFill>
            <w14:solidFill>
              <w14:schemeClr w14:val="tx1"/>
            </w14:solidFill>
          </w14:textFill>
        </w:rPr>
        <w:t>规避了招标投标风险</w:t>
      </w:r>
      <w:r>
        <w:rPr>
          <w:rFonts w:ascii="仿宋_GB2312" w:eastAsia="仿宋_GB2312" w:cs="仿宋_GB2312"/>
          <w:color w:val="000000" w:themeColor="text1"/>
          <w:sz w:val="32"/>
          <w:szCs w:val="32"/>
          <w14:textFill>
            <w14:solidFill>
              <w14:schemeClr w14:val="tx1"/>
            </w14:solidFill>
          </w14:textFill>
        </w:rPr>
        <w:t>，投诉质疑等现象逐年减少。</w:t>
      </w:r>
      <w:r>
        <w:rPr>
          <w:rFonts w:hint="eastAsia" w:ascii="仿宋_GB2312" w:eastAsia="仿宋_GB2312" w:cs="仿宋_GB2312"/>
          <w:b/>
          <w:bCs/>
          <w:color w:val="000000" w:themeColor="text1"/>
          <w:sz w:val="32"/>
          <w:szCs w:val="32"/>
          <w14:textFill>
            <w14:solidFill>
              <w14:schemeClr w14:val="tx1"/>
            </w14:solidFill>
          </w14:textFill>
        </w:rPr>
        <w:t>五是</w:t>
      </w:r>
      <w:r>
        <w:rPr>
          <w:rFonts w:hint="eastAsia" w:ascii="仿宋_GB2312" w:eastAsia="仿宋_GB2312"/>
          <w:b/>
          <w:color w:val="000000" w:themeColor="text1"/>
          <w:sz w:val="32"/>
          <w:szCs w:val="32"/>
          <w14:textFill>
            <w14:solidFill>
              <w14:schemeClr w14:val="tx1"/>
            </w14:solidFill>
          </w14:textFill>
        </w:rPr>
        <w:t>执法成效逐步提升。</w:t>
      </w:r>
      <w:r>
        <w:rPr>
          <w:rFonts w:hint="eastAsia" w:ascii="仿宋_GB2312" w:eastAsia="仿宋_GB2312"/>
          <w:bCs/>
          <w:color w:val="000000" w:themeColor="text1"/>
          <w:sz w:val="32"/>
          <w:szCs w:val="32"/>
          <w14:textFill>
            <w14:solidFill>
              <w14:schemeClr w14:val="tx1"/>
            </w14:solidFill>
          </w14:textFill>
        </w:rPr>
        <w:t>加快</w:t>
      </w:r>
      <w:r>
        <w:rPr>
          <w:rFonts w:hint="eastAsia" w:ascii="仿宋_GB2312" w:hAnsi="Calibri" w:eastAsia="仿宋_GB2312" w:cs="Times New Roman"/>
          <w:bCs/>
          <w:color w:val="000000" w:themeColor="text1"/>
          <w:sz w:val="32"/>
          <w:szCs w:val="32"/>
          <w14:textFill>
            <w14:solidFill>
              <w14:schemeClr w14:val="tx1"/>
            </w14:solidFill>
          </w14:textFill>
        </w:rPr>
        <w:t>数字化城管平台建设，预计11月底</w:t>
      </w:r>
      <w:r>
        <w:rPr>
          <w:rFonts w:hint="eastAsia" w:ascii="仿宋_GB2312" w:eastAsia="仿宋_GB2312"/>
          <w:bCs/>
          <w:color w:val="000000" w:themeColor="text1"/>
          <w:sz w:val="32"/>
          <w:szCs w:val="32"/>
          <w14:textFill>
            <w14:solidFill>
              <w14:schemeClr w14:val="tx1"/>
            </w14:solidFill>
          </w14:textFill>
        </w:rPr>
        <w:t>完成</w:t>
      </w:r>
      <w:r>
        <w:rPr>
          <w:rFonts w:hint="eastAsia" w:ascii="仿宋_GB2312" w:hAnsi="Calibri" w:eastAsia="仿宋_GB2312" w:cs="Times New Roman"/>
          <w:bCs/>
          <w:color w:val="000000" w:themeColor="text1"/>
          <w:sz w:val="32"/>
          <w:szCs w:val="32"/>
          <w14:textFill>
            <w14:solidFill>
              <w14:schemeClr w14:val="tx1"/>
            </w14:solidFill>
          </w14:textFill>
        </w:rPr>
        <w:t>州级层面数字化城管平台建设（一期）工作，并投入使用。</w:t>
      </w:r>
      <w:r>
        <w:rPr>
          <w:rFonts w:hint="eastAsia" w:ascii="仿宋_GB2312" w:hAnsi="Calibri" w:eastAsia="仿宋_GB2312" w:cs="Times New Roman"/>
          <w:color w:val="000000" w:themeColor="text1"/>
          <w:sz w:val="32"/>
          <w:szCs w:val="32"/>
          <w14:textFill>
            <w14:solidFill>
              <w14:schemeClr w14:val="tx1"/>
            </w14:solidFill>
          </w14:textFill>
        </w:rPr>
        <w:t>指导各县（市）规范执法行为</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强化行业监管。</w:t>
      </w:r>
      <w:r>
        <w:rPr>
          <w:rFonts w:hint="eastAsia" w:ascii="仿宋_GB2312" w:hAnsi="宋体" w:eastAsia="仿宋_GB2312" w:cs="宋体"/>
          <w:color w:val="000000" w:themeColor="text1"/>
          <w:kern w:val="0"/>
          <w:sz w:val="32"/>
          <w:szCs w:val="32"/>
          <w14:textFill>
            <w14:solidFill>
              <w14:schemeClr w14:val="tx1"/>
            </w14:solidFill>
          </w14:textFill>
        </w:rPr>
        <w:t>受理投诉信访3件，已完成调查核实2件，转违法违规案件1件处理中。开展</w:t>
      </w:r>
      <w:r>
        <w:rPr>
          <w:rFonts w:hint="eastAsia" w:ascii="仿宋_GB2312" w:hAnsi="宋体" w:eastAsia="仿宋_GB2312" w:cs="宋体"/>
          <w:bCs/>
          <w:color w:val="000000" w:themeColor="text1"/>
          <w:kern w:val="0"/>
          <w:sz w:val="32"/>
          <w:szCs w:val="32"/>
          <w14:textFill>
            <w14:solidFill>
              <w14:schemeClr w14:val="tx1"/>
            </w14:solidFill>
          </w14:textFill>
        </w:rPr>
        <w:t>“扫黑除恶”</w:t>
      </w:r>
      <w:r>
        <w:rPr>
          <w:rFonts w:hint="eastAsia" w:ascii="仿宋_GB2312" w:hAnsi="Calibri" w:eastAsia="仿宋_GB2312" w:cs="Times New Roman"/>
          <w:color w:val="000000" w:themeColor="text1"/>
          <w:sz w:val="32"/>
          <w:szCs w:val="32"/>
          <w14:textFill>
            <w14:solidFill>
              <w14:schemeClr w14:val="tx1"/>
            </w14:solidFill>
          </w14:textFill>
        </w:rPr>
        <w:t>专项排查整治项目共1712个，发现项目违法违规线索208个（已完成全部线索查处）、黑恶线索68条，全州行政处罚330余万元。</w:t>
      </w:r>
    </w:p>
    <w:p>
      <w:pPr>
        <w:pBdr>
          <w:bottom w:val="single" w:color="FFFFFF" w:sz="4" w:space="31"/>
        </w:pBdr>
        <w:topLinePunct/>
        <w:adjustRightInd w:val="0"/>
        <w:snapToGrid w:val="0"/>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bCs/>
          <w:color w:val="000000" w:themeColor="text1"/>
          <w:sz w:val="32"/>
          <w:szCs w:val="32"/>
          <w:lang w:val="en-US" w:eastAsia="zh-CN"/>
          <w14:textFill>
            <w14:solidFill>
              <w14:schemeClr w14:val="tx1"/>
            </w14:solidFill>
          </w14:textFill>
        </w:rPr>
        <w:t>5.</w:t>
      </w:r>
      <w:r>
        <w:rPr>
          <w:rFonts w:hint="eastAsia" w:ascii="楷体_GB2312" w:eastAsia="楷体_GB2312"/>
          <w:b/>
          <w:bCs/>
          <w:color w:val="000000" w:themeColor="text1"/>
          <w:sz w:val="32"/>
          <w:szCs w:val="32"/>
          <w14:textFill>
            <w14:solidFill>
              <w14:schemeClr w14:val="tx1"/>
            </w14:solidFill>
          </w14:textFill>
        </w:rPr>
        <w:t>有效筑牢安全生产防线。</w:t>
      </w:r>
      <w:r>
        <w:rPr>
          <w:rFonts w:hint="eastAsia" w:ascii="仿宋_GB2312" w:eastAsia="仿宋_GB2312"/>
          <w:color w:val="000000" w:themeColor="text1"/>
          <w:sz w:val="32"/>
          <w:szCs w:val="32"/>
          <w14:textFill>
            <w14:solidFill>
              <w14:schemeClr w14:val="tx1"/>
            </w14:solidFill>
          </w14:textFill>
        </w:rPr>
        <w:t>全力推进三年行动计划相关工作任务。</w:t>
      </w:r>
      <w:r>
        <w:rPr>
          <w:rFonts w:hint="eastAsia" w:ascii="仿宋_GB2312" w:eastAsia="仿宋_GB2312"/>
          <w:b/>
          <w:bCs/>
          <w:color w:val="000000" w:themeColor="text1"/>
          <w:sz w:val="32"/>
          <w:szCs w:val="32"/>
          <w14:textFill>
            <w14:solidFill>
              <w14:schemeClr w14:val="tx1"/>
            </w14:solidFill>
          </w14:textFill>
        </w:rPr>
        <w:t>一是建立安全生产责任清单。</w:t>
      </w:r>
      <w:r>
        <w:rPr>
          <w:rFonts w:hint="eastAsia" w:ascii="仿宋_GB2312" w:eastAsia="仿宋_GB2312"/>
          <w:color w:val="000000" w:themeColor="text1"/>
          <w:sz w:val="32"/>
          <w:szCs w:val="32"/>
          <w14:textFill>
            <w14:solidFill>
              <w14:schemeClr w14:val="tx1"/>
            </w14:solidFill>
          </w14:textFill>
        </w:rPr>
        <w:t>共涉及施工企业178家，监理企业10家，燃气企业22家，落实建筑工地食堂食品安全监管责任。</w:t>
      </w:r>
      <w:r>
        <w:rPr>
          <w:rFonts w:hint="eastAsia" w:ascii="仿宋_GB2312" w:eastAsia="仿宋_GB2312"/>
          <w:b/>
          <w:bCs/>
          <w:color w:val="000000" w:themeColor="text1"/>
          <w:sz w:val="32"/>
          <w:szCs w:val="32"/>
          <w14:textFill>
            <w14:solidFill>
              <w14:schemeClr w14:val="tx1"/>
            </w14:solidFill>
          </w14:textFill>
        </w:rPr>
        <w:t>二是开展安全专项整治行动。</w:t>
      </w:r>
      <w:r>
        <w:rPr>
          <w:rFonts w:hint="eastAsia" w:ascii="仿宋_GB2312" w:eastAsia="仿宋_GB2312"/>
          <w:color w:val="000000" w:themeColor="text1"/>
          <w:sz w:val="32"/>
          <w:szCs w:val="32"/>
          <w14:textFill>
            <w14:solidFill>
              <w14:schemeClr w14:val="tx1"/>
            </w14:solidFill>
          </w14:textFill>
        </w:rPr>
        <w:t>共派出检查组171组，组织检查人员706人，检查企业505家，排查隐患171处，已全部整改。检查起重设备345台，发现塔机隐患49处，已全部整改。建立健全林缘边农房隐患排查台账。立案查处22起，处罚金额36.55万元。三</w:t>
      </w:r>
      <w:r>
        <w:rPr>
          <w:rFonts w:hint="eastAsia" w:ascii="仿宋_GB2312" w:eastAsia="仿宋_GB2312"/>
          <w:b/>
          <w:bCs/>
          <w:color w:val="000000" w:themeColor="text1"/>
          <w:sz w:val="32"/>
          <w:szCs w:val="32"/>
          <w14:textFill>
            <w14:solidFill>
              <w14:schemeClr w14:val="tx1"/>
            </w14:solidFill>
          </w14:textFill>
        </w:rPr>
        <w:t>是有力开展防汛减灾工作。</w:t>
      </w:r>
      <w:r>
        <w:rPr>
          <w:rFonts w:hint="eastAsia" w:ascii="仿宋_GB2312" w:eastAsia="仿宋_GB2312"/>
          <w:color w:val="000000" w:themeColor="text1"/>
          <w:sz w:val="32"/>
          <w:szCs w:val="32"/>
          <w14:textFill>
            <w14:solidFill>
              <w14:schemeClr w14:val="tx1"/>
            </w14:solidFill>
          </w14:textFill>
        </w:rPr>
        <w:t xml:space="preserve">共派出排查组366个，7287人次，排查项目6099个，发现隐患1348个（在建工程、市政基础设施工程、城镇既有住房隐患已完成全部整改，农村房屋隐患未整改的通过自建等方式达到住房安全有保障）。 </w:t>
      </w:r>
    </w:p>
    <w:p>
      <w:pPr>
        <w:pBdr>
          <w:bottom w:val="single" w:color="FFFFFF" w:sz="4" w:space="31"/>
        </w:pBdr>
        <w:topLinePunct/>
        <w:adjustRightInd w:val="0"/>
        <w:snapToGrid w:val="0"/>
        <w:spacing w:line="560" w:lineRule="exact"/>
        <w:ind w:firstLine="642" w:firstLineChars="200"/>
        <w:rPr>
          <w:rFonts w:hint="eastAsia" w:ascii="仿宋" w:hAnsi="仿宋" w:eastAsia="仿宋"/>
          <w:bCs/>
          <w:color w:val="000000"/>
          <w:sz w:val="32"/>
          <w:szCs w:val="32"/>
        </w:rPr>
      </w:pPr>
      <w:r>
        <w:rPr>
          <w:rFonts w:hint="eastAsia" w:ascii="楷体_GB2312" w:eastAsia="楷体_GB2312" w:hAnsiTheme="minorEastAsia"/>
          <w:b/>
          <w:bCs/>
          <w:sz w:val="32"/>
          <w:szCs w:val="32"/>
          <w:lang w:val="en-US" w:eastAsia="zh-CN"/>
        </w:rPr>
        <w:t>6.</w:t>
      </w:r>
      <w:r>
        <w:rPr>
          <w:rFonts w:hint="eastAsia" w:ascii="楷体_GB2312" w:eastAsia="楷体_GB2312" w:hAnsiTheme="minorEastAsia"/>
          <w:b/>
          <w:bCs/>
          <w:sz w:val="32"/>
          <w:szCs w:val="32"/>
        </w:rPr>
        <w:t>统筹一体抓好专项工作。</w:t>
      </w:r>
      <w:r>
        <w:rPr>
          <w:rFonts w:hint="eastAsia" w:ascii="仿宋_GB2312" w:eastAsia="仿宋_GB2312" w:hAnsiTheme="minorEastAsia"/>
          <w:b/>
          <w:bCs/>
          <w:sz w:val="32"/>
          <w:szCs w:val="32"/>
        </w:rPr>
        <w:t>一是有力推进新冠肺炎疫情防控工作。</w:t>
      </w:r>
      <w:r>
        <w:rPr>
          <w:rFonts w:hint="eastAsia" w:ascii="仿宋_GB2312" w:eastAsia="仿宋_GB2312" w:hAnsiTheme="minorEastAsia"/>
          <w:sz w:val="32"/>
          <w:szCs w:val="32"/>
        </w:rPr>
        <w:t>在全州174个乡镇和1151个行政村设置废弃口罩等特殊有害垃圾专用桶，共计安放2187个垃圾桶，累计回收处置废弃口罩1803.916公斤。增设废弃口罩专用收集容器371个。全州住建系统共巡查小区1460个，累计消杀面积1440万平方米。</w:t>
      </w:r>
      <w:r>
        <w:rPr>
          <w:rFonts w:hint="eastAsia" w:ascii="仿宋_GB2312" w:hAnsi="Calibri" w:eastAsia="仿宋_GB2312" w:cs="Times New Roman"/>
          <w:b/>
          <w:bCs/>
          <w:sz w:val="32"/>
          <w:szCs w:val="32"/>
        </w:rPr>
        <w:t>二是全面完成系统治理工作。</w:t>
      </w:r>
      <w:r>
        <w:rPr>
          <w:rFonts w:hint="eastAsia" w:ascii="仿宋_GB2312" w:eastAsia="仿宋_GB2312"/>
          <w:sz w:val="32"/>
          <w:szCs w:val="32"/>
        </w:rPr>
        <w:t>结合我州实际，对资质审批、业绩核查等方面存在的问题，全面开展系统治理工作。加强组织领导，制定工作方案，召开全州住建系统治理推进视频会3次，领导小组召开专题会8次，建立健全“三本台账”。州县（市）两级共查找问题31个，向州、县纪委监委移交涉嫌违规违纪线索3条。三</w:t>
      </w:r>
      <w:r>
        <w:rPr>
          <w:rFonts w:hint="eastAsia" w:ascii="仿宋_GB2312" w:eastAsia="仿宋_GB2312"/>
          <w:b/>
          <w:bCs/>
          <w:sz w:val="32"/>
          <w:szCs w:val="32"/>
        </w:rPr>
        <w:t>是</w:t>
      </w:r>
      <w:r>
        <w:rPr>
          <w:rFonts w:hint="eastAsia" w:ascii="仿宋_GB2312" w:hAnsi="楷体_GB2312" w:eastAsia="仿宋_GB2312" w:cs="楷体_GB2312"/>
          <w:b/>
          <w:bCs/>
          <w:sz w:val="32"/>
          <w:szCs w:val="32"/>
        </w:rPr>
        <w:t>环保问题整改有序</w:t>
      </w:r>
      <w:r>
        <w:rPr>
          <w:rFonts w:hint="eastAsia" w:ascii="仿宋_GB2312" w:hAnsi="楷体" w:eastAsia="仿宋_GB2312"/>
          <w:b/>
          <w:bCs/>
          <w:sz w:val="32"/>
          <w:szCs w:val="32"/>
        </w:rPr>
        <w:t>。</w:t>
      </w:r>
      <w:r>
        <w:rPr>
          <w:rFonts w:hint="eastAsia" w:ascii="仿宋_GB2312" w:hAnsi="仿宋_GB2312" w:eastAsia="仿宋_GB2312" w:cs="仿宋_GB2312"/>
          <w:sz w:val="32"/>
          <w:szCs w:val="32"/>
        </w:rPr>
        <w:t>深入推进城镇污水和城乡垃圾处理设施建设运行管理，完成29个省级反馈问题，4个中央反馈问题，3个中央环保“回头看”问题完成，4个省级长江问题，7个</w:t>
      </w:r>
      <w:r>
        <w:rPr>
          <w:rFonts w:hint="eastAsia" w:ascii="仿宋_GB2312" w:eastAsia="仿宋_GB2312"/>
          <w:sz w:val="32"/>
          <w:szCs w:val="36"/>
        </w:rPr>
        <w:t>长江自查问题</w:t>
      </w:r>
      <w:r>
        <w:rPr>
          <w:rFonts w:hint="eastAsia" w:ascii="仿宋_GB2312" w:hAnsi="仿宋_GB2312" w:eastAsia="仿宋_GB2312" w:cs="仿宋_GB2312"/>
          <w:sz w:val="32"/>
          <w:szCs w:val="32"/>
        </w:rPr>
        <w:t>，剩余问题在期限内均可现实销号。</w:t>
      </w:r>
      <w:r>
        <w:rPr>
          <w:rFonts w:hint="eastAsia" w:ascii="仿宋_GB2312" w:hAnsi="Calibri" w:eastAsia="仿宋_GB2312" w:cs="Times New Roman"/>
          <w:b/>
          <w:bCs/>
          <w:sz w:val="32"/>
          <w:szCs w:val="32"/>
        </w:rPr>
        <w:t>四是全力推进专项规划编制工作。</w:t>
      </w:r>
      <w:r>
        <w:rPr>
          <w:rFonts w:hint="eastAsia" w:ascii="仿宋_GB2312" w:eastAsia="仿宋_GB2312"/>
          <w:sz w:val="32"/>
          <w:szCs w:val="32"/>
        </w:rPr>
        <w:t>完成</w:t>
      </w:r>
      <w:r>
        <w:rPr>
          <w:rFonts w:hint="eastAsia" w:ascii="仿宋_GB2312" w:hAnsi="Calibri" w:eastAsia="仿宋_GB2312" w:cs="Times New Roman"/>
          <w:sz w:val="32"/>
          <w:szCs w:val="32"/>
        </w:rPr>
        <w:t>《阿坝州公共厕所专项规划》、《阿坝州国家级传统村落规划》，启动《阿坝州“十四五”住房城乡建设事业发展专项规划》。</w:t>
      </w:r>
    </w:p>
    <w:p>
      <w:pPr>
        <w:pStyle w:val="3"/>
        <w:ind w:firstLine="640" w:firstLineChars="200"/>
        <w:rPr>
          <w:rStyle w:val="25"/>
          <w:b w:val="0"/>
          <w:bCs w:val="0"/>
        </w:rPr>
      </w:pPr>
      <w:bookmarkStart w:id="24" w:name="_Toc1000"/>
      <w:bookmarkStart w:id="25" w:name="_Toc15377200"/>
      <w:bookmarkStart w:id="26"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4"/>
      <w:bookmarkEnd w:id="25"/>
      <w:bookmarkEnd w:id="26"/>
    </w:p>
    <w:p>
      <w:pPr>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0"/>
        </w:pBdr>
        <w:kinsoku/>
        <w:wordWrap/>
        <w:overflowPunct/>
        <w:topLinePunct w:val="0"/>
        <w:autoSpaceDE/>
        <w:autoSpaceDN/>
        <w:bidi w:val="0"/>
        <w:adjustRightInd/>
        <w:spacing w:line="560" w:lineRule="exact"/>
        <w:ind w:leftChars="0" w:firstLine="640" w:firstLineChars="200"/>
        <w:jc w:val="left"/>
        <w:textAlignment w:val="auto"/>
        <w:rPr>
          <w:rFonts w:hint="default" w:ascii="仿宋" w:hAnsi="仿宋" w:eastAsia="仿宋"/>
          <w:color w:val="000000"/>
          <w:sz w:val="32"/>
          <w:szCs w:val="32"/>
          <w:lang w:val="en-US"/>
        </w:rPr>
      </w:pPr>
      <w:r>
        <w:rPr>
          <w:rFonts w:hint="eastAsia" w:ascii="仿宋_GB2312" w:eastAsia="仿宋_GB2312"/>
          <w:sz w:val="32"/>
          <w:szCs w:val="32"/>
        </w:rPr>
        <w:t>阿坝州</w:t>
      </w:r>
      <w:r>
        <w:rPr>
          <w:rFonts w:hint="eastAsia" w:ascii="仿宋_GB2312" w:eastAsia="仿宋_GB2312"/>
          <w:sz w:val="32"/>
          <w:szCs w:val="32"/>
          <w:lang w:val="en-US" w:eastAsia="zh-CN"/>
        </w:rPr>
        <w:t>住房和城乡建设局</w:t>
      </w:r>
      <w:r>
        <w:rPr>
          <w:rStyle w:val="30"/>
          <w:rFonts w:hint="eastAsia" w:ascii="仿宋_GB2312" w:hAnsi="MS PGothic" w:eastAsia="仿宋_GB2312"/>
          <w:color w:val="000000"/>
          <w:sz w:val="32"/>
          <w:szCs w:val="32"/>
        </w:rPr>
        <w:t>属</w:t>
      </w:r>
      <w:r>
        <w:rPr>
          <w:rStyle w:val="30"/>
          <w:rFonts w:hint="eastAsia" w:ascii="仿宋_GB2312" w:hAnsi="Dotum" w:eastAsia="仿宋_GB2312"/>
          <w:color w:val="000000"/>
          <w:sz w:val="32"/>
          <w:szCs w:val="32"/>
        </w:rPr>
        <w:t>一</w:t>
      </w:r>
      <w:r>
        <w:rPr>
          <w:rStyle w:val="30"/>
          <w:rFonts w:hint="eastAsia" w:ascii="仿宋_GB2312" w:hAnsi="宋体" w:eastAsia="仿宋_GB2312"/>
          <w:color w:val="000000"/>
          <w:sz w:val="32"/>
          <w:szCs w:val="32"/>
        </w:rPr>
        <w:t>级预</w:t>
      </w:r>
      <w:r>
        <w:rPr>
          <w:rStyle w:val="30"/>
          <w:rFonts w:hint="eastAsia" w:ascii="仿宋_GB2312" w:hAnsi="Dotum" w:eastAsia="仿宋_GB2312"/>
          <w:color w:val="000000"/>
          <w:sz w:val="32"/>
          <w:szCs w:val="32"/>
        </w:rPr>
        <w:t>算</w:t>
      </w:r>
      <w:r>
        <w:rPr>
          <w:rStyle w:val="30"/>
          <w:rFonts w:hint="eastAsia" w:ascii="仿宋_GB2312" w:hAnsi="宋体" w:eastAsia="仿宋_GB2312"/>
          <w:color w:val="000000"/>
          <w:sz w:val="32"/>
          <w:szCs w:val="32"/>
        </w:rPr>
        <w:t>单</w:t>
      </w:r>
      <w:r>
        <w:rPr>
          <w:rStyle w:val="30"/>
          <w:rFonts w:hint="eastAsia" w:ascii="仿宋_GB2312" w:hAnsi="Dotum" w:eastAsia="仿宋_GB2312"/>
          <w:color w:val="000000"/>
          <w:sz w:val="32"/>
          <w:szCs w:val="32"/>
        </w:rPr>
        <w:t>位</w:t>
      </w:r>
      <w:r>
        <w:rPr>
          <w:rStyle w:val="30"/>
          <w:rFonts w:hint="eastAsia" w:ascii="仿宋_GB2312" w:hAnsi="Dotum" w:eastAsia="仿宋_GB2312"/>
          <w:color w:val="333333"/>
          <w:sz w:val="32"/>
          <w:szCs w:val="32"/>
        </w:rPr>
        <w:t>，</w:t>
      </w:r>
      <w:r>
        <w:rPr>
          <w:rFonts w:hint="eastAsia" w:ascii="仿宋_GB2312" w:eastAsia="仿宋_GB2312"/>
          <w:sz w:val="32"/>
          <w:szCs w:val="32"/>
        </w:rPr>
        <w:t>下属</w:t>
      </w:r>
      <w:r>
        <w:rPr>
          <w:rFonts w:hint="eastAsia" w:ascii="仿宋_GB2312" w:eastAsia="仿宋_GB2312"/>
          <w:sz w:val="32"/>
          <w:szCs w:val="32"/>
          <w:lang w:val="en-US" w:eastAsia="zh-CN"/>
        </w:rPr>
        <w:t>2</w:t>
      </w:r>
      <w:r>
        <w:rPr>
          <w:rFonts w:hint="eastAsia" w:ascii="仿宋_GB2312" w:eastAsia="仿宋_GB2312"/>
          <w:sz w:val="32"/>
          <w:szCs w:val="32"/>
        </w:rPr>
        <w:t>个参公事业单位</w:t>
      </w:r>
      <w:r>
        <w:rPr>
          <w:rFonts w:hint="eastAsia" w:ascii="仿宋_GB2312" w:eastAsia="仿宋_GB2312"/>
          <w:sz w:val="32"/>
          <w:szCs w:val="32"/>
          <w:lang w:eastAsia="zh-CN"/>
        </w:rPr>
        <w:t>，分别是</w:t>
      </w:r>
      <w:r>
        <w:rPr>
          <w:rFonts w:hint="eastAsia" w:ascii="仿宋_GB2312" w:eastAsia="仿宋_GB2312"/>
          <w:sz w:val="32"/>
          <w:szCs w:val="32"/>
          <w:lang w:val="en-US" w:eastAsia="zh-CN"/>
        </w:rPr>
        <w:t>:阿坝州建设工程质量安全监督站（州工程造价站）、阿坝州城市管理综合行政执法监督局，为非独立核算的二级预算单位。</w:t>
      </w:r>
    </w:p>
    <w:p>
      <w:pPr>
        <w:widowControl/>
        <w:jc w:val="left"/>
        <w:rPr>
          <w:rFonts w:ascii="仿宋" w:hAnsi="仿宋" w:eastAsia="仿宋"/>
          <w:color w:val="000000"/>
          <w:kern w:val="0"/>
          <w:sz w:val="32"/>
          <w:szCs w:val="32"/>
        </w:rPr>
      </w:pPr>
    </w:p>
    <w:p>
      <w:pPr>
        <w:pStyle w:val="2"/>
        <w:ind w:right="440"/>
        <w:jc w:val="right"/>
        <w:rPr>
          <w:rStyle w:val="24"/>
          <w:rFonts w:ascii="黑体" w:hAnsi="黑体" w:eastAsia="黑体"/>
          <w:b w:val="0"/>
          <w:bCs w:val="0"/>
        </w:rPr>
      </w:pPr>
      <w:bookmarkStart w:id="27" w:name="_Toc15377204"/>
      <w:bookmarkStart w:id="28" w:name="_Toc29889"/>
      <w:bookmarkStart w:id="29"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lang w:val="en-US" w:eastAsia="zh-CN"/>
        </w:rPr>
        <w:t>2020</w:t>
      </w:r>
      <w:r>
        <w:rPr>
          <w:rStyle w:val="24"/>
          <w:rFonts w:hint="eastAsia" w:ascii="黑体" w:hAnsi="黑体" w:eastAsia="黑体"/>
          <w:b w:val="0"/>
          <w:bCs w:val="0"/>
        </w:rPr>
        <w:t>年度部门决算情况说明</w:t>
      </w:r>
      <w:bookmarkEnd w:id="27"/>
      <w:bookmarkEnd w:id="28"/>
      <w:bookmarkEnd w:id="29"/>
    </w:p>
    <w:p/>
    <w:p>
      <w:pPr>
        <w:pStyle w:val="23"/>
        <w:numPr>
          <w:ilvl w:val="0"/>
          <w:numId w:val="1"/>
        </w:numPr>
        <w:spacing w:line="600" w:lineRule="exact"/>
        <w:ind w:firstLineChars="0"/>
        <w:outlineLvl w:val="1"/>
        <w:rPr>
          <w:rStyle w:val="25"/>
          <w:rFonts w:ascii="黑体" w:hAnsi="黑体" w:eastAsia="黑体"/>
          <w:b w:val="0"/>
        </w:rPr>
      </w:pPr>
      <w:bookmarkStart w:id="30" w:name="_Toc15396603"/>
      <w:bookmarkStart w:id="31" w:name="_Toc15377205"/>
      <w:bookmarkStart w:id="32" w:name="_Toc128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30"/>
      <w:bookmarkEnd w:id="31"/>
      <w:bookmarkEnd w:id="32"/>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1458.97</w:t>
      </w:r>
      <w:r>
        <w:rPr>
          <w:rFonts w:hint="eastAsia" w:ascii="仿宋" w:hAnsi="仿宋" w:eastAsia="仿宋"/>
          <w:color w:val="000000"/>
          <w:sz w:val="32"/>
          <w:szCs w:val="32"/>
        </w:rPr>
        <w:t>万元。与</w:t>
      </w:r>
      <w:r>
        <w:rPr>
          <w:rFonts w:hint="eastAsia" w:ascii="仿宋" w:hAnsi="仿宋" w:eastAsia="仿宋"/>
          <w:color w:val="000000"/>
          <w:sz w:val="32"/>
          <w:szCs w:val="32"/>
          <w:lang w:val="en-US" w:eastAsia="zh-CN"/>
        </w:rPr>
        <w:t>2019</w:t>
      </w:r>
      <w:r>
        <w:rPr>
          <w:rFonts w:hint="eastAsia" w:ascii="仿宋" w:hAnsi="仿宋" w:eastAsia="仿宋"/>
          <w:color w:val="000000"/>
          <w:sz w:val="32"/>
          <w:szCs w:val="32"/>
        </w:rPr>
        <w:t xml:space="preserve">年相比，收、支总计各增加 </w:t>
      </w:r>
      <w:r>
        <w:rPr>
          <w:rFonts w:hint="eastAsia" w:ascii="仿宋" w:hAnsi="仿宋" w:eastAsia="仿宋"/>
          <w:color w:val="000000"/>
          <w:sz w:val="32"/>
          <w:szCs w:val="32"/>
          <w:lang w:val="en-US" w:eastAsia="zh-CN"/>
        </w:rPr>
        <w:t>14.77</w:t>
      </w:r>
      <w:r>
        <w:rPr>
          <w:rFonts w:hint="eastAsia" w:ascii="仿宋" w:hAnsi="仿宋" w:eastAsia="仿宋"/>
          <w:color w:val="000000"/>
          <w:sz w:val="32"/>
          <w:szCs w:val="32"/>
        </w:rPr>
        <w:t xml:space="preserve">万元，增长 </w:t>
      </w:r>
      <w:r>
        <w:rPr>
          <w:rFonts w:hint="eastAsia" w:ascii="仿宋" w:hAnsi="仿宋" w:eastAsia="仿宋"/>
          <w:color w:val="000000"/>
          <w:sz w:val="32"/>
          <w:szCs w:val="32"/>
          <w:lang w:val="en-US" w:eastAsia="zh-CN"/>
        </w:rPr>
        <w:t>1.02</w:t>
      </w:r>
      <w:r>
        <w:rPr>
          <w:rFonts w:hint="eastAsia" w:ascii="仿宋" w:hAnsi="仿宋" w:eastAsia="仿宋"/>
          <w:color w:val="000000"/>
          <w:sz w:val="32"/>
          <w:szCs w:val="32"/>
        </w:rPr>
        <w:t>%。主要变动原因</w:t>
      </w:r>
      <w:r>
        <w:rPr>
          <w:rFonts w:hint="eastAsia" w:ascii="仿宋" w:hAnsi="仿宋" w:eastAsia="仿宋"/>
          <w:color w:val="000000"/>
          <w:sz w:val="32"/>
          <w:szCs w:val="32"/>
          <w:lang w:val="en-US" w:eastAsia="zh-CN"/>
        </w:rPr>
        <w:t>是2020年单位基本收支预算增加。</w:t>
      </w:r>
    </w:p>
    <w:p>
      <w:pPr>
        <w:spacing w:line="600" w:lineRule="exact"/>
        <w:ind w:firstLine="640" w:firstLineChars="200"/>
        <w:rPr>
          <w:rFonts w:hint="eastAsia" w:ascii="仿宋" w:hAnsi="仿宋" w:eastAsia="仿宋"/>
          <w:color w:val="000000"/>
          <w:sz w:val="32"/>
          <w:szCs w:val="32"/>
          <w:lang w:val="en-US" w:eastAsia="zh-CN"/>
        </w:rPr>
      </w:pPr>
    </w:p>
    <w:p>
      <w:pPr>
        <w:spacing w:line="600" w:lineRule="exact"/>
        <w:rPr>
          <w:rFonts w:hint="eastAsia" w:ascii="仿宋" w:hAnsi="仿宋" w:eastAsia="仿宋"/>
          <w:color w:val="000000"/>
          <w:sz w:val="32"/>
          <w:szCs w:val="32"/>
          <w:lang w:val="en-US" w:eastAsia="zh-CN"/>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204470</wp:posOffset>
            </wp:positionH>
            <wp:positionV relativeFrom="paragraph">
              <wp:posOffset>93980</wp:posOffset>
            </wp:positionV>
            <wp:extent cx="4947285" cy="2362835"/>
            <wp:effectExtent l="4445" t="4445" r="20320" b="1397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pStyle w:val="23"/>
        <w:numPr>
          <w:ilvl w:val="0"/>
          <w:numId w:val="1"/>
        </w:numPr>
        <w:spacing w:line="600" w:lineRule="exact"/>
        <w:ind w:firstLineChars="0"/>
        <w:outlineLvl w:val="1"/>
        <w:rPr>
          <w:rStyle w:val="25"/>
          <w:rFonts w:ascii="黑体" w:hAnsi="黑体" w:eastAsia="黑体"/>
          <w:b w:val="0"/>
        </w:rPr>
      </w:pPr>
      <w:bookmarkStart w:id="33" w:name="_Toc15396604"/>
      <w:bookmarkStart w:id="34" w:name="_Toc15377206"/>
      <w:bookmarkStart w:id="35" w:name="_Toc16191"/>
      <w:r>
        <w:rPr>
          <w:rFonts w:hint="eastAsia" w:ascii="黑体" w:hAnsi="黑体" w:eastAsia="黑体"/>
          <w:color w:val="000000"/>
          <w:sz w:val="32"/>
          <w:szCs w:val="32"/>
        </w:rPr>
        <w:t>收</w:t>
      </w:r>
      <w:r>
        <w:rPr>
          <w:rStyle w:val="25"/>
          <w:rFonts w:hint="eastAsia" w:ascii="黑体" w:hAnsi="黑体" w:eastAsia="黑体"/>
          <w:b w:val="0"/>
        </w:rPr>
        <w:t>入决算情况说明</w:t>
      </w:r>
      <w:bookmarkEnd w:id="33"/>
      <w:bookmarkEnd w:id="34"/>
      <w:bookmarkEnd w:id="35"/>
    </w:p>
    <w:p>
      <w:pPr>
        <w:spacing w:line="600" w:lineRule="exact"/>
        <w:ind w:firstLine="640" w:firstLineChars="200"/>
        <w:outlineLvl w:val="1"/>
        <w:rPr>
          <w:rFonts w:hint="eastAsia" w:ascii="仿宋" w:hAnsi="仿宋" w:eastAsia="仿宋"/>
          <w:color w:val="000000" w:themeColor="text1"/>
          <w:sz w:val="32"/>
          <w:szCs w:val="32"/>
          <w14:textFill>
            <w14:solidFill>
              <w14:schemeClr w14:val="tx1"/>
            </w14:solidFill>
          </w14:textFill>
        </w:rPr>
      </w:pPr>
      <w:bookmarkStart w:id="36" w:name="_Toc21807"/>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1239.85</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1239.85</w:t>
      </w:r>
      <w:r>
        <w:rPr>
          <w:rFonts w:hint="eastAsia" w:ascii="仿宋" w:hAnsi="仿宋" w:eastAsia="仿宋"/>
          <w:color w:val="000000"/>
          <w:sz w:val="32"/>
          <w:szCs w:val="32"/>
        </w:rPr>
        <w:t>万元，占 100.00%；政府性基金预算财政拨款收入0.00万元，占 0.00%；上级补助收入0.00万元，占 0.00%；事业收入0.00万元，占 0.00%；经营收入0.00万元，占 0.00%；附属单位上缴收入0.00万元，占 0.00%；其他收入0.00万元，占 0.00%。</w:t>
      </w:r>
      <w:bookmarkEnd w:id="36"/>
    </w:p>
    <w:p>
      <w:pPr>
        <w:spacing w:line="600" w:lineRule="exact"/>
        <w:rPr>
          <w:rFonts w:hint="eastAsia" w:ascii="仿宋" w:hAnsi="仿宋" w:eastAsia="仿宋"/>
          <w:color w:val="000000" w:themeColor="text1"/>
          <w:sz w:val="32"/>
          <w:szCs w:val="32"/>
          <w14:textFill>
            <w14:solidFill>
              <w14:schemeClr w14:val="tx1"/>
            </w14:solidFill>
          </w14:textFill>
        </w:rPr>
      </w:pPr>
      <w:r>
        <w:rPr>
          <w:rFonts w:ascii="仿宋_GB2312" w:eastAsia="仿宋_GB2312"/>
          <w:color w:val="000000"/>
          <w:sz w:val="32"/>
          <w:szCs w:val="32"/>
        </w:rPr>
        <w:drawing>
          <wp:anchor distT="0" distB="0" distL="0" distR="0" simplePos="0" relativeHeight="251660288" behindDoc="0" locked="0" layoutInCell="1" allowOverlap="1">
            <wp:simplePos x="0" y="0"/>
            <wp:positionH relativeFrom="column">
              <wp:posOffset>447675</wp:posOffset>
            </wp:positionH>
            <wp:positionV relativeFrom="paragraph">
              <wp:posOffset>190500</wp:posOffset>
            </wp:positionV>
            <wp:extent cx="3486150" cy="1703705"/>
            <wp:effectExtent l="0" t="0" r="0" b="0"/>
            <wp:wrapSquare wrapText="bothSides"/>
            <wp:docPr id="3" name="对象 1"/>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37" w:name="_Toc29810"/>
      <w:bookmarkStart w:id="38" w:name="_Toc15396605"/>
      <w:bookmarkStart w:id="3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37"/>
      <w:bookmarkEnd w:id="38"/>
      <w:bookmarkEnd w:id="39"/>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 xml:space="preserve"> 年本年支出合计</w:t>
      </w:r>
      <w:r>
        <w:rPr>
          <w:rFonts w:hint="eastAsia" w:ascii="仿宋" w:hAnsi="仿宋" w:eastAsia="仿宋"/>
          <w:color w:val="000000"/>
          <w:sz w:val="32"/>
          <w:szCs w:val="32"/>
          <w:lang w:val="en-US" w:eastAsia="zh-CN"/>
        </w:rPr>
        <w:t>1148.81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744.47</w:t>
      </w:r>
      <w:r>
        <w:rPr>
          <w:rFonts w:hint="eastAsia" w:ascii="仿宋" w:hAnsi="仿宋" w:eastAsia="仿宋"/>
          <w:color w:val="000000"/>
          <w:sz w:val="32"/>
          <w:szCs w:val="32"/>
        </w:rPr>
        <w:t xml:space="preserve">万元，占 </w:t>
      </w:r>
      <w:r>
        <w:rPr>
          <w:rFonts w:hint="eastAsia" w:ascii="仿宋" w:hAnsi="仿宋" w:eastAsia="仿宋"/>
          <w:color w:val="000000"/>
          <w:sz w:val="32"/>
          <w:szCs w:val="32"/>
          <w:lang w:val="en-US" w:eastAsia="zh-CN"/>
        </w:rPr>
        <w:t>64.80</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404.34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35.20</w:t>
      </w:r>
      <w:r>
        <w:rPr>
          <w:rFonts w:hint="eastAsia" w:ascii="仿宋" w:hAnsi="仿宋" w:eastAsia="仿宋"/>
          <w:color w:val="000000"/>
          <w:sz w:val="32"/>
          <w:szCs w:val="32"/>
        </w:rPr>
        <w:t>%；上缴上级支出0.00万元，占 0.00%；经营支出0.00万元，占 0.00%；对附属单位补助支出0.00万元，占 0.00%。</w:t>
      </w:r>
    </w:p>
    <w:p>
      <w:pPr>
        <w:spacing w:line="600" w:lineRule="exact"/>
        <w:rPr>
          <w:rFonts w:hint="eastAsia" w:ascii="仿宋" w:hAnsi="仿宋" w:eastAsia="仿宋"/>
          <w:color w:val="000000"/>
          <w:sz w:val="32"/>
          <w:szCs w:val="32"/>
        </w:rPr>
      </w:pPr>
      <w:r>
        <w:rPr>
          <w:rFonts w:hint="eastAsia" w:ascii="仿宋_GB2312" w:hAnsi="仿宋_GB2312" w:eastAsia="仿宋_GB2312" w:cs="仿宋_GB2312"/>
          <w:color w:val="000000"/>
          <w:sz w:val="32"/>
          <w:szCs w:val="32"/>
        </w:rPr>
        <w:drawing>
          <wp:anchor distT="0" distB="0" distL="0" distR="0" simplePos="0" relativeHeight="251661312" behindDoc="0" locked="0" layoutInCell="1" allowOverlap="1">
            <wp:simplePos x="0" y="0"/>
            <wp:positionH relativeFrom="column">
              <wp:posOffset>895350</wp:posOffset>
            </wp:positionH>
            <wp:positionV relativeFrom="paragraph">
              <wp:posOffset>542925</wp:posOffset>
            </wp:positionV>
            <wp:extent cx="2999105" cy="2020570"/>
            <wp:effectExtent l="0" t="0" r="0" b="0"/>
            <wp:wrapSquare wrapText="bothSides"/>
            <wp:docPr id="2"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Fonts w:hint="eastAsia" w:ascii="黑体" w:hAnsi="黑体" w:eastAsia="黑体"/>
          <w:color w:val="000000"/>
          <w:sz w:val="32"/>
          <w:szCs w:val="32"/>
        </w:rPr>
      </w:pPr>
      <w:bookmarkStart w:id="40" w:name="_Toc15377208"/>
      <w:bookmarkStart w:id="41" w:name="_Toc9889"/>
      <w:bookmarkStart w:id="42" w:name="_Toc15396606"/>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40"/>
      <w:bookmarkEnd w:id="41"/>
      <w:bookmarkEnd w:id="42"/>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年财政拨款收、支总计占</w:t>
      </w:r>
      <w:r>
        <w:rPr>
          <w:rFonts w:hint="eastAsia" w:ascii="仿宋" w:hAnsi="仿宋" w:eastAsia="仿宋"/>
          <w:color w:val="000000"/>
          <w:sz w:val="32"/>
          <w:szCs w:val="32"/>
          <w:lang w:val="en-US" w:eastAsia="zh-CN"/>
        </w:rPr>
        <w:t>1458.97</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年相比，财政拨款收、支总计各增加</w:t>
      </w:r>
      <w:r>
        <w:rPr>
          <w:rFonts w:hint="eastAsia" w:ascii="仿宋" w:hAnsi="仿宋" w:eastAsia="仿宋"/>
          <w:color w:val="000000"/>
          <w:sz w:val="32"/>
          <w:szCs w:val="32"/>
          <w:lang w:val="en-US" w:eastAsia="zh-CN"/>
        </w:rPr>
        <w:t>14.77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1.02</w:t>
      </w:r>
      <w:r>
        <w:rPr>
          <w:rFonts w:hint="eastAsia" w:ascii="仿宋" w:hAnsi="仿宋" w:eastAsia="仿宋"/>
          <w:color w:val="000000"/>
          <w:sz w:val="32"/>
          <w:szCs w:val="32"/>
        </w:rPr>
        <w:t>%。主要变动原因</w:t>
      </w:r>
      <w:r>
        <w:rPr>
          <w:rFonts w:hint="eastAsia" w:ascii="仿宋" w:hAnsi="仿宋" w:eastAsia="仿宋"/>
          <w:color w:val="000000"/>
          <w:sz w:val="32"/>
          <w:szCs w:val="32"/>
          <w:lang w:val="en-US" w:eastAsia="zh-CN"/>
        </w:rPr>
        <w:t>是2020年单位基本收支预算增加。</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233045</wp:posOffset>
            </wp:positionH>
            <wp:positionV relativeFrom="paragraph">
              <wp:posOffset>347345</wp:posOffset>
            </wp:positionV>
            <wp:extent cx="4947285" cy="2362835"/>
            <wp:effectExtent l="4445" t="4445" r="20320" b="1397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43" w:name="_Toc1694"/>
      <w:bookmarkStart w:id="44" w:name="_Toc15377209"/>
      <w:bookmarkStart w:id="45"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43"/>
      <w:bookmarkEnd w:id="44"/>
      <w:bookmarkEnd w:id="45"/>
    </w:p>
    <w:p>
      <w:pPr>
        <w:spacing w:line="600" w:lineRule="exact"/>
        <w:ind w:firstLine="642" w:firstLineChars="200"/>
        <w:outlineLvl w:val="2"/>
        <w:rPr>
          <w:rFonts w:ascii="仿宋" w:hAnsi="仿宋" w:eastAsia="仿宋"/>
          <w:b/>
          <w:color w:val="000000"/>
          <w:sz w:val="32"/>
          <w:szCs w:val="32"/>
        </w:rPr>
      </w:pPr>
      <w:bookmarkStart w:id="46" w:name="_Toc15377210"/>
      <w:r>
        <w:rPr>
          <w:rFonts w:hint="eastAsia" w:ascii="仿宋" w:hAnsi="仿宋" w:eastAsia="仿宋"/>
          <w:b/>
          <w:color w:val="000000"/>
          <w:sz w:val="32"/>
          <w:szCs w:val="32"/>
        </w:rPr>
        <w:t>（一）一般公共预算财政拨款支出决算总体情况</w:t>
      </w:r>
      <w:bookmarkEnd w:id="46"/>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1148.81</w:t>
      </w:r>
      <w:r>
        <w:rPr>
          <w:rFonts w:hint="eastAsia" w:ascii="仿宋" w:hAnsi="仿宋" w:eastAsia="仿宋"/>
          <w:color w:val="000000"/>
          <w:sz w:val="32"/>
          <w:szCs w:val="32"/>
        </w:rPr>
        <w:t>万元，占本年支出合计的 100.00%。与201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147.11</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降低11</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2020年单位项目收支预算减少。</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5408" behindDoc="0" locked="0" layoutInCell="1" allowOverlap="1">
            <wp:simplePos x="0" y="0"/>
            <wp:positionH relativeFrom="column">
              <wp:posOffset>175895</wp:posOffset>
            </wp:positionH>
            <wp:positionV relativeFrom="paragraph">
              <wp:posOffset>140970</wp:posOffset>
            </wp:positionV>
            <wp:extent cx="4947285" cy="2362835"/>
            <wp:effectExtent l="4445" t="4445" r="20320" b="1397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bookmarkStart w:id="47" w:name="_Toc15377211"/>
      <w:r>
        <w:rPr>
          <w:rFonts w:hint="eastAsia" w:ascii="仿宋" w:hAnsi="仿宋" w:eastAsia="仿宋"/>
          <w:b/>
          <w:color w:val="000000"/>
          <w:sz w:val="32"/>
          <w:szCs w:val="32"/>
        </w:rPr>
        <w:t>（二）一般公共预算财政拨款支出决算结构情况</w:t>
      </w:r>
      <w:bookmarkEnd w:id="47"/>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1148.81</w:t>
      </w:r>
      <w:r>
        <w:rPr>
          <w:rFonts w:hint="eastAsia" w:ascii="仿宋" w:hAnsi="仿宋" w:eastAsia="仿宋"/>
          <w:color w:val="000000"/>
          <w:sz w:val="32"/>
          <w:szCs w:val="32"/>
        </w:rPr>
        <w:t>万元，主要用于以下方面:一般公共服务（类）支出0.00万元，占0.00%；外交支出（类）0.00万元，占0.00%，国防支出（类）0.00万元，占0.00%；公共安全支出（类）0.00万元，占0.00%；教育支出（类）0.00万元，占0.00%；科学技术（类）支出0.00万元，占0.00%；文化旅游体育与传媒（类）支出0.00万元，占0.00%；社会保障和就业（类）支出</w:t>
      </w:r>
      <w:r>
        <w:rPr>
          <w:rFonts w:hint="eastAsia" w:ascii="仿宋" w:hAnsi="仿宋" w:eastAsia="仿宋"/>
          <w:color w:val="000000"/>
          <w:sz w:val="32"/>
          <w:szCs w:val="32"/>
          <w:lang w:val="en-US" w:eastAsia="zh-CN"/>
        </w:rPr>
        <w:t>71.65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6.24</w:t>
      </w:r>
      <w:r>
        <w:rPr>
          <w:rFonts w:hint="eastAsia" w:ascii="仿宋" w:hAnsi="仿宋" w:eastAsia="仿宋"/>
          <w:color w:val="000000"/>
          <w:sz w:val="32"/>
          <w:szCs w:val="32"/>
        </w:rPr>
        <w:t>%；卫生健康支出（类）</w:t>
      </w:r>
      <w:r>
        <w:rPr>
          <w:rFonts w:hint="eastAsia" w:ascii="仿宋" w:hAnsi="仿宋" w:eastAsia="仿宋"/>
          <w:color w:val="000000"/>
          <w:sz w:val="32"/>
          <w:szCs w:val="32"/>
          <w:lang w:val="en-US" w:eastAsia="zh-CN"/>
        </w:rPr>
        <w:t>35.72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3.11</w:t>
      </w:r>
      <w:r>
        <w:rPr>
          <w:rFonts w:hint="eastAsia" w:ascii="仿宋" w:hAnsi="仿宋" w:eastAsia="仿宋"/>
          <w:color w:val="000000"/>
          <w:sz w:val="32"/>
          <w:szCs w:val="32"/>
        </w:rPr>
        <w:t>%；节能环保支出（类）0.00万元，占0.00%；城乡社区支出（类）</w:t>
      </w:r>
      <w:r>
        <w:rPr>
          <w:rFonts w:hint="eastAsia" w:ascii="仿宋" w:hAnsi="仿宋" w:eastAsia="仿宋"/>
          <w:color w:val="000000"/>
          <w:sz w:val="32"/>
          <w:szCs w:val="32"/>
          <w:lang w:val="en-US" w:eastAsia="zh-CN"/>
        </w:rPr>
        <w:t>993.21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86.45</w:t>
      </w:r>
      <w:r>
        <w:rPr>
          <w:rFonts w:hint="eastAsia" w:ascii="仿宋" w:hAnsi="仿宋" w:eastAsia="仿宋"/>
          <w:color w:val="000000"/>
          <w:sz w:val="32"/>
          <w:szCs w:val="32"/>
        </w:rPr>
        <w:t>%；农林水支出（类）0.00万元，占0.00%；交通运输支出（类）0.00万元，占0.00%；资源勘探信息等支出（类）0.00万元，占0.00%；商业服务业等支出（类）0.00万元，占0.00%；金融支出（类）0.00万元，占0.00%；援助其他地区支出（类）0.00万元，占0.00%；自然资源海洋气象等支出（类）0.00万元，占0.00%；住房保障支出（类）</w:t>
      </w:r>
      <w:r>
        <w:rPr>
          <w:rFonts w:hint="eastAsia" w:ascii="仿宋" w:hAnsi="仿宋" w:eastAsia="仿宋"/>
          <w:color w:val="000000"/>
          <w:sz w:val="32"/>
          <w:szCs w:val="32"/>
          <w:lang w:val="en-US" w:eastAsia="zh-CN"/>
        </w:rPr>
        <w:t>48.23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4.20</w:t>
      </w:r>
      <w:r>
        <w:rPr>
          <w:rFonts w:hint="eastAsia" w:ascii="仿宋" w:hAnsi="仿宋" w:eastAsia="仿宋"/>
          <w:color w:val="000000"/>
          <w:sz w:val="32"/>
          <w:szCs w:val="32"/>
        </w:rPr>
        <w:t>%；粮油物资储备支出（类）0.00万元，占0.00%；灾害防治及应急管理支出（类）0.00万元，占0.00%；其他支出（类）0.00万元，占0.00%；债务还本支出（类）0.00万元，占0.00%；债务付息支出（类）0.00万元，占0.00%。</w:t>
      </w:r>
    </w:p>
    <w:p>
      <w:pPr>
        <w:spacing w:line="600" w:lineRule="exact"/>
        <w:ind w:firstLine="640"/>
        <w:rPr>
          <w:rFonts w:hint="eastAsia" w:ascii="仿宋" w:hAnsi="仿宋" w:eastAsia="仿宋"/>
          <w:color w:val="000000"/>
          <w:sz w:val="32"/>
          <w:szCs w:val="32"/>
        </w:rPr>
      </w:pPr>
      <w:r>
        <w:rPr>
          <w:rFonts w:ascii="仿宋_GB2312" w:eastAsia="仿宋_GB2312"/>
          <w:color w:val="000000"/>
          <w:sz w:val="32"/>
          <w:szCs w:val="32"/>
        </w:rPr>
        <w:drawing>
          <wp:anchor distT="0" distB="0" distL="0" distR="0" simplePos="0" relativeHeight="251667456" behindDoc="0" locked="0" layoutInCell="1" allowOverlap="1">
            <wp:simplePos x="0" y="0"/>
            <wp:positionH relativeFrom="column">
              <wp:posOffset>561975</wp:posOffset>
            </wp:positionH>
            <wp:positionV relativeFrom="paragraph">
              <wp:posOffset>342900</wp:posOffset>
            </wp:positionV>
            <wp:extent cx="2999105" cy="2020570"/>
            <wp:effectExtent l="0" t="0" r="0" b="0"/>
            <wp:wrapSquare wrapText="bothSides"/>
            <wp:docPr id="8"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48" w:name="_Toc15377212"/>
      <w:r>
        <w:rPr>
          <w:rFonts w:hint="eastAsia" w:ascii="仿宋" w:hAnsi="仿宋" w:eastAsia="仿宋"/>
          <w:b/>
          <w:color w:val="000000"/>
          <w:sz w:val="32"/>
          <w:szCs w:val="32"/>
          <w:highlight w:val="none"/>
        </w:rPr>
        <w:t>（三）</w:t>
      </w:r>
      <w:r>
        <w:rPr>
          <w:rFonts w:hint="eastAsia" w:ascii="仿宋" w:hAnsi="仿宋" w:eastAsia="仿宋"/>
          <w:b/>
          <w:color w:val="000000"/>
          <w:sz w:val="32"/>
          <w:szCs w:val="32"/>
        </w:rPr>
        <w:t>一般公共预算财政拨款支出决算具体情况</w:t>
      </w:r>
      <w:bookmarkEnd w:id="48"/>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lang w:val="en-US" w:eastAsia="zh-CN"/>
        </w:rPr>
        <w:t>2020</w:t>
      </w:r>
      <w:r>
        <w:rPr>
          <w:rStyle w:val="14"/>
          <w:rFonts w:hint="eastAsia" w:ascii="仿宋" w:hAnsi="仿宋" w:eastAsia="仿宋"/>
          <w:b w:val="0"/>
          <w:bCs/>
          <w:color w:val="000000"/>
          <w:sz w:val="32"/>
          <w:szCs w:val="32"/>
        </w:rPr>
        <w:t>年一般公共预算支出决算数为</w:t>
      </w:r>
      <w:r>
        <w:rPr>
          <w:rStyle w:val="14"/>
          <w:rFonts w:hint="eastAsia" w:ascii="仿宋" w:hAnsi="仿宋" w:eastAsia="仿宋"/>
          <w:b w:val="0"/>
          <w:bCs/>
          <w:color w:val="000000"/>
          <w:sz w:val="32"/>
          <w:szCs w:val="32"/>
          <w:lang w:val="en-US" w:eastAsia="zh-CN"/>
        </w:rPr>
        <w:t>1148.81</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92.66</w:t>
      </w:r>
      <w:r>
        <w:rPr>
          <w:rStyle w:val="14"/>
          <w:rFonts w:hint="eastAsia" w:ascii="仿宋" w:hAnsi="仿宋" w:eastAsia="仿宋"/>
          <w:b w:val="0"/>
          <w:bCs/>
          <w:color w:val="000000"/>
          <w:sz w:val="32"/>
          <w:szCs w:val="32"/>
        </w:rPr>
        <w:t>%。其中：</w:t>
      </w:r>
    </w:p>
    <w:p>
      <w:pPr>
        <w:pageBreakBefore w:val="0"/>
        <w:numPr>
          <w:ilvl w:val="0"/>
          <w:numId w:val="0"/>
        </w:numPr>
        <w:kinsoku/>
        <w:wordWrap/>
        <w:overflowPunct/>
        <w:topLinePunct w:val="0"/>
        <w:bidi w:val="0"/>
        <w:spacing w:line="560" w:lineRule="exact"/>
        <w:ind w:firstLine="642" w:firstLineChars="200"/>
        <w:textAlignment w:val="auto"/>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1.城乡社区支出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993.21</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91.60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val="en-US" w:eastAsia="zh-CN"/>
        </w:rPr>
        <w:t>小于</w:t>
      </w:r>
      <w:r>
        <w:rPr>
          <w:rStyle w:val="14"/>
          <w:rFonts w:hint="eastAsia" w:ascii="仿宋_GB2312" w:hAnsi="仿宋_GB2312" w:eastAsia="仿宋_GB2312" w:cs="仿宋_GB2312"/>
          <w:b w:val="0"/>
          <w:bCs/>
          <w:color w:val="000000"/>
          <w:sz w:val="32"/>
          <w:szCs w:val="32"/>
        </w:rPr>
        <w:t>预算数的主要原因是</w:t>
      </w:r>
      <w:r>
        <w:rPr>
          <w:rStyle w:val="14"/>
          <w:rFonts w:hint="eastAsia" w:ascii="仿宋_GB2312" w:hAnsi="仿宋_GB2312" w:eastAsia="仿宋_GB2312" w:cs="仿宋_GB2312"/>
          <w:b w:val="0"/>
          <w:bCs/>
          <w:color w:val="000000"/>
          <w:sz w:val="32"/>
          <w:szCs w:val="32"/>
          <w:lang w:val="en-US" w:eastAsia="zh-CN"/>
        </w:rPr>
        <w:t>2020</w:t>
      </w:r>
      <w:r>
        <w:rPr>
          <w:rStyle w:val="14"/>
          <w:rFonts w:hint="eastAsia" w:ascii="仿宋_GB2312" w:hAnsi="仿宋_GB2312" w:eastAsia="仿宋_GB2312" w:cs="仿宋_GB2312"/>
          <w:b w:val="0"/>
          <w:bCs/>
          <w:color w:val="000000"/>
          <w:sz w:val="32"/>
          <w:szCs w:val="32"/>
        </w:rPr>
        <w:t>年</w:t>
      </w:r>
      <w:r>
        <w:rPr>
          <w:rStyle w:val="14"/>
          <w:rFonts w:hint="eastAsia" w:ascii="仿宋_GB2312" w:hAnsi="仿宋_GB2312" w:eastAsia="仿宋_GB2312" w:cs="仿宋_GB2312"/>
          <w:b w:val="0"/>
          <w:bCs/>
          <w:color w:val="000000"/>
          <w:sz w:val="32"/>
          <w:szCs w:val="32"/>
          <w:lang w:val="en-US" w:eastAsia="zh-CN"/>
        </w:rPr>
        <w:t>度项目支出结转310.15万元至2021年。</w:t>
      </w:r>
    </w:p>
    <w:p>
      <w:pPr>
        <w:pageBreakBefore w:val="0"/>
        <w:numPr>
          <w:ilvl w:val="0"/>
          <w:numId w:val="0"/>
        </w:numPr>
        <w:kinsoku/>
        <w:wordWrap/>
        <w:overflowPunct/>
        <w:topLinePunct w:val="0"/>
        <w:bidi w:val="0"/>
        <w:spacing w:line="560" w:lineRule="exact"/>
        <w:ind w:firstLine="642" w:firstLineChars="200"/>
        <w:textAlignment w:val="auto"/>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Cs/>
          <w:color w:val="000000"/>
          <w:sz w:val="32"/>
          <w:szCs w:val="32"/>
          <w:lang w:val="en-US" w:eastAsia="zh-CN"/>
        </w:rPr>
        <w:t>城乡社区管理事务</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993.21</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91.60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val="en-US" w:eastAsia="zh-CN"/>
        </w:rPr>
        <w:t>小于</w:t>
      </w:r>
      <w:r>
        <w:rPr>
          <w:rStyle w:val="14"/>
          <w:rFonts w:hint="eastAsia" w:ascii="仿宋_GB2312" w:hAnsi="仿宋_GB2312" w:eastAsia="仿宋_GB2312" w:cs="仿宋_GB2312"/>
          <w:b w:val="0"/>
          <w:bCs/>
          <w:color w:val="000000"/>
          <w:sz w:val="32"/>
          <w:szCs w:val="32"/>
        </w:rPr>
        <w:t>预算数的主要原因是</w:t>
      </w:r>
      <w:r>
        <w:rPr>
          <w:rStyle w:val="14"/>
          <w:rFonts w:hint="eastAsia" w:ascii="仿宋_GB2312" w:hAnsi="仿宋_GB2312" w:eastAsia="仿宋_GB2312" w:cs="仿宋_GB2312"/>
          <w:b w:val="0"/>
          <w:bCs/>
          <w:color w:val="000000"/>
          <w:sz w:val="32"/>
          <w:szCs w:val="32"/>
          <w:lang w:val="en-US" w:eastAsia="zh-CN"/>
        </w:rPr>
        <w:t>2020</w:t>
      </w:r>
      <w:r>
        <w:rPr>
          <w:rStyle w:val="14"/>
          <w:rFonts w:hint="eastAsia" w:ascii="仿宋_GB2312" w:hAnsi="仿宋_GB2312" w:eastAsia="仿宋_GB2312" w:cs="仿宋_GB2312"/>
          <w:b w:val="0"/>
          <w:bCs/>
          <w:color w:val="000000"/>
          <w:sz w:val="32"/>
          <w:szCs w:val="32"/>
        </w:rPr>
        <w:t>年</w:t>
      </w:r>
      <w:r>
        <w:rPr>
          <w:rStyle w:val="14"/>
          <w:rFonts w:hint="eastAsia" w:ascii="仿宋_GB2312" w:hAnsi="仿宋_GB2312" w:eastAsia="仿宋_GB2312" w:cs="仿宋_GB2312"/>
          <w:b w:val="0"/>
          <w:bCs/>
          <w:color w:val="000000"/>
          <w:sz w:val="32"/>
          <w:szCs w:val="32"/>
          <w:lang w:val="en-US" w:eastAsia="zh-CN"/>
        </w:rPr>
        <w:t>度项目支出结转310.15万元至2021年。</w:t>
      </w:r>
    </w:p>
    <w:p>
      <w:pPr>
        <w:pageBreakBefore w:val="0"/>
        <w:numPr>
          <w:ilvl w:val="0"/>
          <w:numId w:val="0"/>
        </w:numPr>
        <w:kinsoku/>
        <w:wordWrap/>
        <w:overflowPunct/>
        <w:topLinePunct w:val="0"/>
        <w:bidi w:val="0"/>
        <w:spacing w:line="560" w:lineRule="exact"/>
        <w:ind w:firstLine="642" w:firstLineChars="200"/>
        <w:textAlignment w:val="auto"/>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Cs/>
          <w:color w:val="000000"/>
          <w:sz w:val="32"/>
          <w:szCs w:val="32"/>
          <w:lang w:val="en-US" w:eastAsia="zh-CN"/>
        </w:rPr>
        <w:t>行政运行</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588.87</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pageBreakBefore w:val="0"/>
        <w:numPr>
          <w:ilvl w:val="0"/>
          <w:numId w:val="0"/>
        </w:numPr>
        <w:kinsoku/>
        <w:wordWrap/>
        <w:overflowPunct/>
        <w:topLinePunct w:val="0"/>
        <w:bidi w:val="0"/>
        <w:spacing w:line="560" w:lineRule="exact"/>
        <w:ind w:firstLine="642" w:firstLineChars="200"/>
        <w:textAlignment w:val="auto"/>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一般行政管理事务（项）：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404.34</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67.47</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val="en-US" w:eastAsia="zh-CN"/>
        </w:rPr>
        <w:t>小于</w:t>
      </w:r>
      <w:r>
        <w:rPr>
          <w:rStyle w:val="14"/>
          <w:rFonts w:hint="eastAsia" w:ascii="仿宋_GB2312" w:hAnsi="仿宋_GB2312" w:eastAsia="仿宋_GB2312" w:cs="仿宋_GB2312"/>
          <w:b w:val="0"/>
          <w:bCs/>
          <w:color w:val="000000"/>
          <w:sz w:val="32"/>
          <w:szCs w:val="32"/>
        </w:rPr>
        <w:t>预算数的主要原因是</w:t>
      </w:r>
      <w:r>
        <w:rPr>
          <w:rStyle w:val="14"/>
          <w:rFonts w:hint="eastAsia" w:ascii="仿宋_GB2312" w:hAnsi="仿宋_GB2312" w:eastAsia="仿宋_GB2312" w:cs="仿宋_GB2312"/>
          <w:b w:val="0"/>
          <w:bCs/>
          <w:color w:val="000000"/>
          <w:sz w:val="32"/>
          <w:szCs w:val="32"/>
          <w:lang w:val="en-US" w:eastAsia="zh-CN"/>
        </w:rPr>
        <w:t>2020</w:t>
      </w:r>
      <w:r>
        <w:rPr>
          <w:rStyle w:val="14"/>
          <w:rFonts w:hint="eastAsia" w:ascii="仿宋_GB2312" w:hAnsi="仿宋_GB2312" w:eastAsia="仿宋_GB2312" w:cs="仿宋_GB2312"/>
          <w:b w:val="0"/>
          <w:bCs/>
          <w:color w:val="000000"/>
          <w:sz w:val="32"/>
          <w:szCs w:val="32"/>
        </w:rPr>
        <w:t>年</w:t>
      </w:r>
      <w:r>
        <w:rPr>
          <w:rStyle w:val="14"/>
          <w:rFonts w:hint="eastAsia" w:ascii="仿宋_GB2312" w:hAnsi="仿宋_GB2312" w:eastAsia="仿宋_GB2312" w:cs="仿宋_GB2312"/>
          <w:b w:val="0"/>
          <w:bCs/>
          <w:color w:val="000000"/>
          <w:sz w:val="32"/>
          <w:szCs w:val="32"/>
          <w:lang w:val="en-US" w:eastAsia="zh-CN"/>
        </w:rPr>
        <w:t>度项目支出结转310.15万元至2021年。</w:t>
      </w:r>
    </w:p>
    <w:p>
      <w:pPr>
        <w:pageBreakBefore w:val="0"/>
        <w:numPr>
          <w:ilvl w:val="0"/>
          <w:numId w:val="0"/>
        </w:numPr>
        <w:kinsoku/>
        <w:wordWrap/>
        <w:overflowPunct/>
        <w:topLinePunct w:val="0"/>
        <w:bidi w:val="0"/>
        <w:spacing w:line="560" w:lineRule="exact"/>
        <w:ind w:firstLine="642" w:firstLineChars="200"/>
        <w:textAlignment w:val="auto"/>
        <w:rPr>
          <w:rStyle w:val="14"/>
          <w:rFonts w:hint="eastAsia" w:ascii="仿宋_GB2312" w:hAnsi="仿宋_GB2312" w:eastAsia="仿宋_GB2312" w:cs="仿宋_GB2312"/>
          <w:bCs/>
          <w:color w:val="000000"/>
          <w:sz w:val="32"/>
          <w:szCs w:val="32"/>
          <w:lang w:val="en-US" w:eastAsia="zh-CN"/>
        </w:rPr>
      </w:pPr>
      <w:r>
        <w:rPr>
          <w:rStyle w:val="14"/>
          <w:rFonts w:hint="eastAsia" w:ascii="仿宋_GB2312" w:hAnsi="仿宋_GB2312" w:eastAsia="仿宋_GB2312" w:cs="仿宋_GB2312"/>
          <w:bCs/>
          <w:color w:val="000000"/>
          <w:sz w:val="32"/>
          <w:szCs w:val="32"/>
          <w:lang w:val="en-US" w:eastAsia="zh-CN"/>
        </w:rPr>
        <w:t>2.</w:t>
      </w:r>
      <w:r>
        <w:rPr>
          <w:rStyle w:val="14"/>
          <w:rFonts w:hint="eastAsia" w:ascii="仿宋_GB2312" w:hAnsi="仿宋_GB2312" w:eastAsia="仿宋_GB2312" w:cs="仿宋_GB2312"/>
          <w:bCs/>
          <w:color w:val="000000"/>
          <w:sz w:val="32"/>
          <w:szCs w:val="32"/>
        </w:rPr>
        <w:t>社会保障和就业（类）</w:t>
      </w:r>
      <w:r>
        <w:rPr>
          <w:rStyle w:val="14"/>
          <w:rFonts w:hint="eastAsia" w:ascii="仿宋_GB2312" w:hAnsi="仿宋_GB2312" w:eastAsia="仿宋_GB2312" w:cs="仿宋_GB2312"/>
          <w:bCs/>
          <w:color w:val="000000"/>
          <w:sz w:val="32"/>
          <w:szCs w:val="32"/>
          <w:lang w:val="en-US" w:eastAsia="zh-CN"/>
        </w:rPr>
        <w:t>：</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71.65</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pageBreakBefore w:val="0"/>
        <w:numPr>
          <w:ilvl w:val="0"/>
          <w:numId w:val="0"/>
        </w:numPr>
        <w:kinsoku/>
        <w:wordWrap/>
        <w:overflowPunct/>
        <w:topLinePunct w:val="0"/>
        <w:bidi w:val="0"/>
        <w:spacing w:line="560" w:lineRule="exact"/>
        <w:ind w:firstLine="642" w:firstLineChars="200"/>
        <w:textAlignment w:val="auto"/>
        <w:rPr>
          <w:rStyle w:val="14"/>
          <w:rFonts w:hint="eastAsia" w:ascii="仿宋_GB2312" w:hAnsi="仿宋_GB2312" w:eastAsia="仿宋_GB2312" w:cs="仿宋_GB2312"/>
          <w:bCs/>
          <w:color w:val="000000"/>
          <w:sz w:val="32"/>
          <w:szCs w:val="32"/>
          <w:lang w:val="en-US" w:eastAsia="zh-CN"/>
        </w:rPr>
      </w:pPr>
      <w:r>
        <w:rPr>
          <w:rStyle w:val="14"/>
          <w:rFonts w:hint="eastAsia" w:ascii="仿宋_GB2312" w:hAnsi="仿宋_GB2312" w:eastAsia="仿宋_GB2312" w:cs="仿宋_GB2312"/>
          <w:bCs/>
          <w:color w:val="000000"/>
          <w:sz w:val="32"/>
          <w:szCs w:val="32"/>
          <w:lang w:val="en-US" w:eastAsia="zh-CN"/>
        </w:rPr>
        <w:t>行政事业单位离退休</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val="en-US" w:eastAsia="zh-CN"/>
        </w:rPr>
        <w:t>：</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71.65</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pageBreakBefore w:val="0"/>
        <w:numPr>
          <w:ilvl w:val="0"/>
          <w:numId w:val="0"/>
        </w:numPr>
        <w:kinsoku/>
        <w:wordWrap/>
        <w:overflowPunct/>
        <w:topLinePunct w:val="0"/>
        <w:bidi w:val="0"/>
        <w:spacing w:line="560" w:lineRule="exact"/>
        <w:ind w:firstLine="642" w:firstLineChars="200"/>
        <w:textAlignment w:val="auto"/>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Cs/>
          <w:color w:val="000000"/>
          <w:sz w:val="32"/>
          <w:szCs w:val="32"/>
          <w:lang w:val="en-US" w:eastAsia="zh-CN"/>
        </w:rPr>
        <w:t>机关事业单位基本养老保险缴费支出</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Cs/>
          <w:color w:val="000000"/>
          <w:sz w:val="32"/>
          <w:szCs w:val="32"/>
          <w:lang w:val="en-US" w:eastAsia="zh-CN"/>
        </w:rPr>
        <w:t>：</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47.80</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pageBreakBefore w:val="0"/>
        <w:numPr>
          <w:ilvl w:val="0"/>
          <w:numId w:val="0"/>
        </w:numPr>
        <w:kinsoku/>
        <w:wordWrap/>
        <w:overflowPunct/>
        <w:topLinePunct w:val="0"/>
        <w:bidi w:val="0"/>
        <w:spacing w:line="560" w:lineRule="exact"/>
        <w:ind w:firstLine="642" w:firstLineChars="200"/>
        <w:textAlignment w:val="auto"/>
        <w:rPr>
          <w:rStyle w:val="14"/>
          <w:rFonts w:hint="eastAsia" w:ascii="仿宋_GB2312" w:hAnsi="仿宋_GB2312" w:eastAsia="仿宋_GB2312" w:cs="仿宋_GB2312"/>
          <w:bCs/>
          <w:color w:val="000000"/>
          <w:sz w:val="32"/>
          <w:szCs w:val="32"/>
          <w:lang w:val="en-US" w:eastAsia="zh-CN"/>
        </w:rPr>
      </w:pPr>
      <w:r>
        <w:rPr>
          <w:rStyle w:val="14"/>
          <w:rFonts w:hint="eastAsia" w:ascii="仿宋_GB2312" w:hAnsi="仿宋_GB2312" w:eastAsia="仿宋_GB2312" w:cs="仿宋_GB2312"/>
          <w:bCs/>
          <w:color w:val="000000"/>
          <w:sz w:val="32"/>
          <w:szCs w:val="32"/>
          <w:lang w:val="en-US" w:eastAsia="zh-CN"/>
        </w:rPr>
        <w:t>机关事业单位职业年金缴费支出（项）：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23.85</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pageBreakBefore w:val="0"/>
        <w:numPr>
          <w:ilvl w:val="0"/>
          <w:numId w:val="0"/>
        </w:numPr>
        <w:kinsoku/>
        <w:wordWrap/>
        <w:overflowPunct/>
        <w:topLinePunct w:val="0"/>
        <w:bidi w:val="0"/>
        <w:spacing w:line="560" w:lineRule="exact"/>
        <w:ind w:firstLine="642" w:firstLineChars="200"/>
        <w:textAlignment w:val="auto"/>
        <w:rPr>
          <w:rStyle w:val="14"/>
          <w:rFonts w:hint="eastAsia" w:ascii="仿宋_GB2312" w:hAnsi="仿宋_GB2312" w:eastAsia="仿宋_GB2312" w:cs="仿宋_GB2312"/>
          <w:bCs/>
          <w:color w:val="000000"/>
          <w:sz w:val="32"/>
          <w:szCs w:val="32"/>
          <w:lang w:eastAsia="zh-CN"/>
        </w:rPr>
      </w:pPr>
      <w:r>
        <w:rPr>
          <w:rStyle w:val="14"/>
          <w:rFonts w:hint="eastAsia" w:ascii="仿宋_GB2312" w:hAnsi="仿宋_GB2312" w:eastAsia="仿宋_GB2312" w:cs="仿宋_GB2312"/>
          <w:bCs/>
          <w:color w:val="000000"/>
          <w:sz w:val="32"/>
          <w:szCs w:val="32"/>
          <w:lang w:val="en-US" w:eastAsia="zh-CN"/>
        </w:rPr>
        <w:t>3.</w:t>
      </w:r>
      <w:r>
        <w:rPr>
          <w:rStyle w:val="14"/>
          <w:rFonts w:hint="eastAsia" w:ascii="仿宋_GB2312" w:hAnsi="仿宋_GB2312" w:eastAsia="仿宋_GB2312" w:cs="仿宋_GB2312"/>
          <w:bCs/>
          <w:color w:val="000000"/>
          <w:sz w:val="32"/>
          <w:szCs w:val="32"/>
        </w:rPr>
        <w:t>卫生</w:t>
      </w:r>
      <w:r>
        <w:rPr>
          <w:rStyle w:val="14"/>
          <w:rFonts w:hint="eastAsia" w:ascii="仿宋_GB2312" w:hAnsi="仿宋_GB2312" w:eastAsia="仿宋_GB2312" w:cs="仿宋_GB2312"/>
          <w:bCs/>
          <w:color w:val="000000"/>
          <w:sz w:val="32"/>
          <w:szCs w:val="32"/>
          <w:lang w:val="en-US" w:eastAsia="zh-CN"/>
        </w:rPr>
        <w:t>健康支出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val="en-US" w:eastAsia="zh-CN"/>
        </w:rPr>
        <w:t>：</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35.72</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pageBreakBefore w:val="0"/>
        <w:numPr>
          <w:ilvl w:val="0"/>
          <w:numId w:val="0"/>
        </w:numPr>
        <w:kinsoku/>
        <w:wordWrap/>
        <w:overflowPunct/>
        <w:topLinePunct w:val="0"/>
        <w:bidi w:val="0"/>
        <w:spacing w:line="560" w:lineRule="exact"/>
        <w:ind w:firstLine="642" w:firstLineChars="200"/>
        <w:textAlignment w:val="auto"/>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lang w:val="en-US" w:eastAsia="zh-CN"/>
        </w:rPr>
        <w:t>行政事业单位医疗</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val="en-US" w:eastAsia="zh-CN"/>
        </w:rPr>
        <w:t>：</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35.72</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pageBreakBefore w:val="0"/>
        <w:numPr>
          <w:ilvl w:val="0"/>
          <w:numId w:val="0"/>
        </w:numPr>
        <w:kinsoku/>
        <w:wordWrap/>
        <w:overflowPunct/>
        <w:topLinePunct w:val="0"/>
        <w:bidi w:val="0"/>
        <w:spacing w:line="560" w:lineRule="exact"/>
        <w:ind w:firstLine="642" w:firstLineChars="200"/>
        <w:textAlignment w:val="auto"/>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Cs/>
          <w:color w:val="000000"/>
          <w:sz w:val="32"/>
          <w:szCs w:val="32"/>
          <w:lang w:val="en-US" w:eastAsia="zh-CN"/>
        </w:rPr>
        <w:t>行政单位医疗</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Cs/>
          <w:color w:val="000000"/>
          <w:sz w:val="32"/>
          <w:szCs w:val="32"/>
          <w:lang w:val="en-US" w:eastAsia="zh-CN"/>
        </w:rPr>
        <w:t>：</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29.37</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pageBreakBefore w:val="0"/>
        <w:numPr>
          <w:ilvl w:val="0"/>
          <w:numId w:val="0"/>
        </w:numPr>
        <w:kinsoku/>
        <w:wordWrap/>
        <w:overflowPunct/>
        <w:topLinePunct w:val="0"/>
        <w:bidi w:val="0"/>
        <w:spacing w:line="560" w:lineRule="exact"/>
        <w:ind w:firstLine="642" w:firstLineChars="200"/>
        <w:textAlignment w:val="auto"/>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Cs/>
          <w:color w:val="000000"/>
          <w:sz w:val="32"/>
          <w:szCs w:val="32"/>
          <w:lang w:val="en-US" w:eastAsia="zh-CN"/>
        </w:rPr>
        <w:t>公务员医疗补助（项）：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6.35</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pageBreakBefore w:val="0"/>
        <w:numPr>
          <w:ilvl w:val="0"/>
          <w:numId w:val="0"/>
        </w:numPr>
        <w:kinsoku/>
        <w:wordWrap/>
        <w:overflowPunct/>
        <w:topLinePunct w:val="0"/>
        <w:bidi w:val="0"/>
        <w:spacing w:line="560" w:lineRule="exact"/>
        <w:ind w:firstLine="642" w:firstLineChars="200"/>
        <w:textAlignment w:val="auto"/>
        <w:rPr>
          <w:rStyle w:val="14"/>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color w:val="000000"/>
          <w:sz w:val="32"/>
          <w:szCs w:val="32"/>
          <w:lang w:val="en-US" w:eastAsia="zh-CN"/>
        </w:rPr>
        <w:t>4.住房保障支出（类）：</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48.23</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pageBreakBefore w:val="0"/>
        <w:numPr>
          <w:ilvl w:val="0"/>
          <w:numId w:val="0"/>
        </w:numPr>
        <w:kinsoku/>
        <w:wordWrap/>
        <w:overflowPunct/>
        <w:topLinePunct w:val="0"/>
        <w:bidi w:val="0"/>
        <w:spacing w:line="560" w:lineRule="exact"/>
        <w:ind w:firstLine="642" w:firstLineChars="200"/>
        <w:textAlignment w:val="auto"/>
        <w:rPr>
          <w:rStyle w:val="14"/>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color w:val="000000"/>
          <w:sz w:val="32"/>
          <w:szCs w:val="32"/>
          <w:lang w:val="en-US" w:eastAsia="zh-CN"/>
        </w:rPr>
        <w:t>住房改革支出（款）：</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48.23</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pageBreakBefore w:val="0"/>
        <w:numPr>
          <w:ilvl w:val="0"/>
          <w:numId w:val="0"/>
        </w:numPr>
        <w:kinsoku/>
        <w:wordWrap/>
        <w:overflowPunct/>
        <w:topLinePunct w:val="0"/>
        <w:bidi w:val="0"/>
        <w:spacing w:line="560" w:lineRule="exact"/>
        <w:ind w:firstLine="642" w:firstLineChars="200"/>
        <w:textAlignment w:val="auto"/>
        <w:rPr>
          <w:rStyle w:val="14"/>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color w:val="000000"/>
          <w:sz w:val="32"/>
          <w:szCs w:val="32"/>
          <w:lang w:val="en-US" w:eastAsia="zh-CN"/>
        </w:rPr>
        <w:t>住房公积金（项）：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46.82</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pageBreakBefore w:val="0"/>
        <w:numPr>
          <w:ilvl w:val="0"/>
          <w:numId w:val="0"/>
        </w:numPr>
        <w:kinsoku/>
        <w:wordWrap/>
        <w:overflowPunct/>
        <w:topLinePunct w:val="0"/>
        <w:bidi w:val="0"/>
        <w:spacing w:line="560" w:lineRule="exact"/>
        <w:ind w:firstLine="642" w:firstLineChars="200"/>
        <w:textAlignment w:val="auto"/>
        <w:rPr>
          <w:rStyle w:val="14"/>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color w:val="000000"/>
          <w:sz w:val="32"/>
          <w:szCs w:val="32"/>
          <w:lang w:val="en-US" w:eastAsia="zh-CN"/>
        </w:rPr>
        <w:t>购房补贴（项）：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1.2</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tabs>
          <w:tab w:val="right" w:pos="8306"/>
        </w:tabs>
        <w:spacing w:line="600" w:lineRule="exact"/>
        <w:ind w:firstLine="640"/>
        <w:outlineLvl w:val="1"/>
        <w:rPr>
          <w:rStyle w:val="25"/>
        </w:rPr>
      </w:pPr>
      <w:bookmarkStart w:id="49" w:name="_Toc15377214"/>
      <w:bookmarkStart w:id="50" w:name="_Toc20405"/>
      <w:bookmarkStart w:id="5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9"/>
      <w:bookmarkEnd w:id="50"/>
      <w:bookmarkEnd w:id="51"/>
      <w:r>
        <w:rPr>
          <w:rStyle w:val="25"/>
          <w:rFonts w:ascii="黑体" w:hAnsi="黑体" w:eastAsia="黑体"/>
          <w:b w:val="0"/>
        </w:rPr>
        <w:tab/>
      </w:r>
    </w:p>
    <w:p>
      <w:pPr>
        <w:spacing w:line="600" w:lineRule="exact"/>
        <w:ind w:firstLine="640" w:firstLineChars="200"/>
        <w:outlineLvl w:val="1"/>
        <w:rPr>
          <w:rFonts w:hint="eastAsia" w:ascii="仿宋_GB2312" w:hAnsi="仿宋_GB2312" w:eastAsia="仿宋_GB2312" w:cs="仿宋_GB2312"/>
          <w:color w:val="000000"/>
          <w:sz w:val="32"/>
          <w:szCs w:val="32"/>
        </w:rPr>
      </w:pPr>
      <w:bookmarkStart w:id="52" w:name="_Toc4920"/>
      <w:bookmarkStart w:id="53" w:name="_Toc15396609"/>
      <w:bookmarkStart w:id="54" w:name="_Toc15377215"/>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611.26</w:t>
      </w:r>
      <w:r>
        <w:rPr>
          <w:rFonts w:hint="eastAsia" w:ascii="仿宋_GB2312" w:hAnsi="仿宋_GB2312" w:eastAsia="仿宋_GB2312" w:cs="仿宋_GB2312"/>
          <w:color w:val="000000"/>
          <w:sz w:val="32"/>
          <w:szCs w:val="32"/>
        </w:rPr>
        <w:t>万元，主要包括：基本工资、津贴补贴、奖金、伙食补助费、绩效工资、机关事业单位基本养老保险缴费、职业年金缴费、 其他社会保障缴费、其他工资福利支出、医疗费补助、住房公积金、其他对个人和家庭的补助支出等。</w:t>
      </w:r>
      <w:bookmarkEnd w:id="52"/>
    </w:p>
    <w:p>
      <w:pPr>
        <w:spacing w:line="600" w:lineRule="exact"/>
        <w:ind w:firstLine="640" w:firstLineChars="200"/>
        <w:outlineLvl w:val="1"/>
        <w:rPr>
          <w:rFonts w:hint="eastAsia" w:ascii="仿宋_GB2312" w:hAnsi="仿宋_GB2312" w:eastAsia="仿宋_GB2312" w:cs="仿宋_GB2312"/>
          <w:color w:val="000000"/>
          <w:sz w:val="32"/>
          <w:szCs w:val="32"/>
          <w:lang w:val="en-US" w:eastAsia="zh-CN"/>
        </w:rPr>
      </w:pPr>
      <w:bookmarkStart w:id="55" w:name="_Toc7818"/>
      <w:r>
        <w:rPr>
          <w:rFonts w:hint="eastAsia" w:ascii="仿宋_GB2312" w:hAnsi="仿宋_GB2312" w:eastAsia="仿宋_GB2312" w:cs="仿宋_GB2312"/>
          <w:color w:val="000000"/>
          <w:sz w:val="32"/>
          <w:szCs w:val="32"/>
        </w:rPr>
        <w:t>日常公用经费</w:t>
      </w:r>
      <w:r>
        <w:rPr>
          <w:rFonts w:hint="eastAsia" w:ascii="仿宋_GB2312" w:hAnsi="仿宋_GB2312" w:eastAsia="仿宋_GB2312" w:cs="仿宋_GB2312"/>
          <w:color w:val="000000"/>
          <w:sz w:val="32"/>
          <w:szCs w:val="32"/>
          <w:lang w:val="en-US" w:eastAsia="zh-CN"/>
        </w:rPr>
        <w:t>133.21</w:t>
      </w:r>
      <w:r>
        <w:rPr>
          <w:rFonts w:hint="eastAsia" w:ascii="仿宋_GB2312" w:hAnsi="仿宋_GB2312" w:eastAsia="仿宋_GB2312" w:cs="仿宋_GB2312"/>
          <w:color w:val="000000"/>
          <w:sz w:val="32"/>
          <w:szCs w:val="32"/>
        </w:rPr>
        <w:t>万元，主要包括：办公费、印刷费、咨询费、手续费、水费、电费、邮电费、取暖费、物业管理费、差旅费、维修（护）费、租赁费、会议费、培训费、劳务费、委托业务费、福利费、公务用车运行维护费</w:t>
      </w:r>
      <w:bookmarkEnd w:id="55"/>
      <w:r>
        <w:rPr>
          <w:rFonts w:hint="eastAsia" w:ascii="仿宋_GB2312" w:hAnsi="仿宋_GB2312" w:eastAsia="仿宋_GB2312" w:cs="仿宋_GB2312"/>
          <w:color w:val="000000"/>
          <w:sz w:val="32"/>
          <w:szCs w:val="32"/>
          <w:lang w:val="en-US" w:eastAsia="zh-CN"/>
        </w:rPr>
        <w:t>等。</w:t>
      </w:r>
    </w:p>
    <w:p>
      <w:pPr>
        <w:spacing w:line="600" w:lineRule="exact"/>
        <w:ind w:firstLine="640"/>
        <w:outlineLvl w:val="1"/>
        <w:rPr>
          <w:rStyle w:val="25"/>
          <w:rFonts w:ascii="黑体" w:hAnsi="黑体" w:eastAsia="黑体"/>
          <w:b w:val="0"/>
        </w:rPr>
      </w:pPr>
      <w:bookmarkStart w:id="56" w:name="_Toc932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53"/>
      <w:bookmarkEnd w:id="54"/>
      <w:bookmarkEnd w:id="56"/>
    </w:p>
    <w:p>
      <w:pPr>
        <w:spacing w:line="600" w:lineRule="exact"/>
        <w:ind w:firstLine="640"/>
        <w:outlineLvl w:val="2"/>
        <w:rPr>
          <w:rFonts w:hint="eastAsia" w:ascii="楷体_GB2312" w:hAnsi="楷体_GB2312" w:eastAsia="楷体_GB2312" w:cs="楷体_GB2312"/>
          <w:b/>
          <w:color w:val="000000"/>
          <w:sz w:val="32"/>
          <w:szCs w:val="32"/>
        </w:rPr>
      </w:pPr>
      <w:bookmarkStart w:id="57" w:name="_Toc15377216"/>
      <w:r>
        <w:rPr>
          <w:rFonts w:hint="eastAsia" w:ascii="楷体_GB2312" w:hAnsi="楷体_GB2312" w:eastAsia="楷体_GB2312" w:cs="楷体_GB2312"/>
          <w:b/>
          <w:color w:val="000000"/>
          <w:sz w:val="32"/>
          <w:szCs w:val="32"/>
        </w:rPr>
        <w:t>（一）“三公”经费财政拨款支出决算总体情况说明</w:t>
      </w:r>
      <w:bookmarkEnd w:id="57"/>
    </w:p>
    <w:p>
      <w:pPr>
        <w:spacing w:line="600" w:lineRule="exact"/>
        <w:ind w:firstLine="640" w:firstLineChars="200"/>
        <w:rPr>
          <w:rFonts w:hint="default" w:ascii="仿宋" w:hAnsi="仿宋" w:eastAsia="仿宋"/>
          <w:b/>
          <w:color w:val="FF0000"/>
          <w:sz w:val="32"/>
          <w:szCs w:val="32"/>
          <w:lang w:val="en-US" w:eastAsia="zh-CN"/>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79.17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决算数</w:t>
      </w:r>
      <w:r>
        <w:rPr>
          <w:rFonts w:hint="eastAsia" w:ascii="仿宋" w:hAnsi="仿宋" w:eastAsia="仿宋"/>
          <w:color w:val="000000"/>
          <w:sz w:val="32"/>
          <w:szCs w:val="32"/>
        </w:rPr>
        <w:t>与预算数持平的主要原因是</w:t>
      </w:r>
      <w:r>
        <w:rPr>
          <w:rFonts w:hint="eastAsia" w:ascii="仿宋" w:hAnsi="仿宋" w:eastAsia="仿宋"/>
          <w:color w:val="000000"/>
          <w:sz w:val="32"/>
          <w:szCs w:val="32"/>
          <w:lang w:val="en-US" w:eastAsia="zh-CN"/>
        </w:rPr>
        <w:t>单位2020年工作任务重，需要到各县开展工作次数多，产生的公务用车费用较多。</w:t>
      </w:r>
    </w:p>
    <w:p>
      <w:pPr>
        <w:spacing w:line="600" w:lineRule="exact"/>
        <w:ind w:firstLine="640"/>
        <w:outlineLvl w:val="2"/>
        <w:rPr>
          <w:rFonts w:hint="eastAsia" w:ascii="楷体_GB2312" w:hAnsi="楷体_GB2312" w:eastAsia="楷体_GB2312" w:cs="楷体_GB2312"/>
          <w:b/>
          <w:color w:val="000000"/>
          <w:sz w:val="32"/>
          <w:szCs w:val="32"/>
        </w:rPr>
      </w:pPr>
      <w:bookmarkStart w:id="58" w:name="_Toc15377217"/>
      <w:r>
        <w:rPr>
          <w:rFonts w:hint="eastAsia" w:ascii="楷体_GB2312" w:hAnsi="楷体_GB2312" w:eastAsia="楷体_GB2312" w:cs="楷体_GB2312"/>
          <w:b/>
          <w:color w:val="000000"/>
          <w:sz w:val="32"/>
          <w:szCs w:val="32"/>
        </w:rPr>
        <w:t>（二）“三公”经费财政拨款支出决算具体情况说明</w:t>
      </w:r>
      <w:bookmarkEnd w:id="58"/>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 xml:space="preserve"> 年“三公”经费财政拨款支出决算中，因公出国（境）费支出决算0.00万元，占 0.00%；公务用车购置及运行维护费支出决算</w:t>
      </w:r>
      <w:r>
        <w:rPr>
          <w:rFonts w:hint="eastAsia" w:ascii="仿宋_GB2312" w:hAnsi="仿宋_GB2312" w:eastAsia="仿宋_GB2312" w:cs="仿宋_GB2312"/>
          <w:color w:val="000000"/>
          <w:sz w:val="32"/>
          <w:szCs w:val="32"/>
          <w:lang w:val="en-US" w:eastAsia="zh-CN"/>
        </w:rPr>
        <w:t>79.17</w:t>
      </w:r>
      <w:r>
        <w:rPr>
          <w:rFonts w:hint="eastAsia" w:ascii="仿宋_GB2312" w:hAnsi="仿宋_GB2312" w:eastAsia="仿宋_GB2312" w:cs="仿宋_GB2312"/>
          <w:color w:val="000000"/>
          <w:sz w:val="32"/>
          <w:szCs w:val="32"/>
        </w:rPr>
        <w:t xml:space="preserve">万元，占 </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%；公务接待费支出决算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 xml:space="preserve">万元，占 </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%。具体情况如下：</w:t>
      </w:r>
    </w:p>
    <w:p>
      <w:pPr>
        <w:spacing w:line="600" w:lineRule="exact"/>
        <w:ind w:firstLine="640"/>
        <w:rPr>
          <w:rFonts w:hint="eastAsia" w:ascii="仿宋" w:hAnsi="仿宋" w:eastAsia="仿宋"/>
          <w:color w:val="000000"/>
          <w:sz w:val="32"/>
          <w:szCs w:val="32"/>
        </w:rPr>
      </w:pPr>
      <w:r>
        <w:rPr>
          <w:rFonts w:ascii="仿宋_GB2312" w:eastAsia="仿宋_GB2312"/>
          <w:color w:val="000000"/>
          <w:sz w:val="32"/>
          <w:szCs w:val="32"/>
        </w:rPr>
        <w:drawing>
          <wp:anchor distT="0" distB="0" distL="0" distR="0" simplePos="0" relativeHeight="251668480" behindDoc="0" locked="0" layoutInCell="1" allowOverlap="1">
            <wp:simplePos x="0" y="0"/>
            <wp:positionH relativeFrom="column">
              <wp:posOffset>933450</wp:posOffset>
            </wp:positionH>
            <wp:positionV relativeFrom="paragraph">
              <wp:posOffset>371475</wp:posOffset>
            </wp:positionV>
            <wp:extent cx="2724150" cy="1828800"/>
            <wp:effectExtent l="0" t="0" r="0" b="0"/>
            <wp:wrapSquare wrapText="bothSides"/>
            <wp:docPr id="6" name="对象 6"/>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hint="eastAsia" w:ascii="仿宋" w:hAnsi="仿宋" w:eastAsia="仿宋"/>
          <w:color w:val="000000"/>
          <w:sz w:val="32"/>
          <w:szCs w:val="32"/>
        </w:rPr>
      </w:pPr>
    </w:p>
    <w:p>
      <w:pPr>
        <w:spacing w:line="600" w:lineRule="exact"/>
        <w:ind w:firstLine="640"/>
        <w:outlineLvl w:val="1"/>
        <w:rPr>
          <w:rFonts w:hint="eastAsia" w:ascii="仿宋_GB2312" w:eastAsia="仿宋_GB2312"/>
          <w:b w:val="0"/>
          <w:bCs/>
          <w:color w:val="000000"/>
          <w:sz w:val="32"/>
          <w:szCs w:val="32"/>
        </w:rPr>
      </w:pPr>
      <w:bookmarkStart w:id="59" w:name="_Toc24277"/>
      <w:bookmarkStart w:id="60" w:name="_Toc15377218"/>
      <w:bookmarkStart w:id="61" w:name="_Toc15396610"/>
      <w:r>
        <w:rPr>
          <w:rFonts w:hint="eastAsia" w:ascii="仿宋_GB2312" w:eastAsia="仿宋_GB2312"/>
          <w:b w:val="0"/>
          <w:bCs/>
          <w:color w:val="000000"/>
          <w:sz w:val="32"/>
          <w:szCs w:val="32"/>
        </w:rPr>
        <w:t>1.因公出国（境）经费支出0.00万元，完成预算</w:t>
      </w:r>
      <w:r>
        <w:rPr>
          <w:rFonts w:hint="eastAsia" w:ascii="仿宋_GB2312" w:eastAsia="仿宋_GB2312"/>
          <w:b w:val="0"/>
          <w:bCs/>
          <w:color w:val="000000"/>
          <w:sz w:val="32"/>
          <w:szCs w:val="32"/>
          <w:lang w:val="en-US" w:eastAsia="zh-CN"/>
        </w:rPr>
        <w:t>0</w:t>
      </w:r>
      <w:r>
        <w:rPr>
          <w:rFonts w:hint="eastAsia" w:ascii="仿宋_GB2312" w:eastAsia="仿宋_GB2312"/>
          <w:b w:val="0"/>
          <w:bCs/>
          <w:color w:val="000000"/>
          <w:sz w:val="32"/>
          <w:szCs w:val="32"/>
        </w:rPr>
        <w:t>%。</w:t>
      </w:r>
      <w:bookmarkEnd w:id="59"/>
    </w:p>
    <w:p>
      <w:pPr>
        <w:spacing w:line="600" w:lineRule="exact"/>
        <w:ind w:firstLine="640" w:firstLineChars="200"/>
        <w:rPr>
          <w:rFonts w:hint="eastAsia" w:ascii="仿宋_GB2312" w:eastAsia="仿宋_GB2312"/>
          <w:b w:val="0"/>
          <w:bCs/>
          <w:color w:val="000000"/>
          <w:sz w:val="32"/>
          <w:szCs w:val="32"/>
        </w:rPr>
      </w:pPr>
      <w:r>
        <w:rPr>
          <w:rFonts w:hint="eastAsia" w:ascii="仿宋_GB2312" w:eastAsia="仿宋_GB2312"/>
          <w:b w:val="0"/>
          <w:bCs/>
          <w:color w:val="000000"/>
          <w:sz w:val="32"/>
          <w:szCs w:val="32"/>
        </w:rPr>
        <w:t>2.公务用车购置及运行维护费支出66.05万元,完成预算</w:t>
      </w:r>
      <w:r>
        <w:rPr>
          <w:rFonts w:hint="eastAsia" w:ascii="仿宋_GB2312" w:eastAsia="仿宋_GB2312"/>
          <w:b w:val="0"/>
          <w:bCs/>
          <w:color w:val="000000"/>
          <w:sz w:val="32"/>
          <w:szCs w:val="32"/>
          <w:lang w:val="en-US" w:eastAsia="zh-CN"/>
        </w:rPr>
        <w:t>100</w:t>
      </w:r>
      <w:r>
        <w:rPr>
          <w:rFonts w:hint="eastAsia" w:ascii="仿宋_GB2312" w:eastAsia="仿宋_GB2312"/>
          <w:b w:val="0"/>
          <w:bCs/>
          <w:color w:val="000000"/>
          <w:sz w:val="32"/>
          <w:szCs w:val="32"/>
        </w:rPr>
        <w:t>%。公务用车购置及运行维护费支出决算比</w:t>
      </w:r>
      <w:r>
        <w:rPr>
          <w:rFonts w:hint="eastAsia" w:ascii="仿宋_GB2312" w:eastAsia="仿宋_GB2312"/>
          <w:b w:val="0"/>
          <w:bCs/>
          <w:color w:val="000000"/>
          <w:sz w:val="32"/>
          <w:szCs w:val="32"/>
          <w:lang w:eastAsia="zh-CN"/>
        </w:rPr>
        <w:t>2019</w:t>
      </w:r>
      <w:r>
        <w:rPr>
          <w:rFonts w:hint="eastAsia" w:ascii="仿宋_GB2312" w:eastAsia="仿宋_GB2312"/>
          <w:b w:val="0"/>
          <w:bCs/>
          <w:color w:val="000000"/>
          <w:sz w:val="32"/>
          <w:szCs w:val="32"/>
        </w:rPr>
        <w:t>年增加</w:t>
      </w:r>
      <w:r>
        <w:rPr>
          <w:rFonts w:hint="eastAsia" w:ascii="仿宋_GB2312" w:eastAsia="仿宋_GB2312"/>
          <w:b w:val="0"/>
          <w:bCs/>
          <w:color w:val="000000"/>
          <w:sz w:val="32"/>
          <w:szCs w:val="32"/>
          <w:lang w:val="en-US" w:eastAsia="zh-CN"/>
        </w:rPr>
        <w:t>13.12</w:t>
      </w:r>
      <w:r>
        <w:rPr>
          <w:rFonts w:hint="eastAsia" w:ascii="仿宋_GB2312" w:eastAsia="仿宋_GB2312"/>
          <w:b w:val="0"/>
          <w:bCs/>
          <w:color w:val="000000"/>
          <w:sz w:val="32"/>
          <w:szCs w:val="32"/>
        </w:rPr>
        <w:t>万元，增长</w:t>
      </w:r>
      <w:r>
        <w:rPr>
          <w:rFonts w:hint="eastAsia" w:ascii="仿宋_GB2312" w:eastAsia="仿宋_GB2312"/>
          <w:b w:val="0"/>
          <w:bCs/>
          <w:color w:val="000000"/>
          <w:sz w:val="32"/>
          <w:szCs w:val="32"/>
          <w:lang w:val="en-US" w:eastAsia="zh-CN"/>
        </w:rPr>
        <w:t>19.86</w:t>
      </w:r>
      <w:r>
        <w:rPr>
          <w:rFonts w:hint="eastAsia" w:ascii="仿宋_GB2312" w:eastAsia="仿宋_GB2312"/>
          <w:b w:val="0"/>
          <w:bCs/>
          <w:color w:val="000000"/>
          <w:sz w:val="32"/>
          <w:szCs w:val="32"/>
        </w:rPr>
        <w:t>%。主要原因是</w:t>
      </w:r>
      <w:r>
        <w:rPr>
          <w:rFonts w:hint="eastAsia" w:ascii="仿宋" w:hAnsi="仿宋" w:eastAsia="仿宋"/>
          <w:color w:val="000000"/>
          <w:sz w:val="32"/>
          <w:szCs w:val="32"/>
          <w:lang w:val="en-US" w:eastAsia="zh-CN"/>
        </w:rPr>
        <w:t>单位2020年新购置公务用车1辆。</w:t>
      </w:r>
      <w:r>
        <w:rPr>
          <w:rFonts w:hint="eastAsia" w:ascii="仿宋_GB2312" w:eastAsia="仿宋_GB2312"/>
          <w:b w:val="0"/>
          <w:bCs/>
          <w:color w:val="000000"/>
          <w:sz w:val="32"/>
          <w:szCs w:val="32"/>
        </w:rPr>
        <w:t>其中：公务用车购置支出</w:t>
      </w:r>
      <w:r>
        <w:rPr>
          <w:rFonts w:hint="eastAsia" w:ascii="仿宋_GB2312" w:eastAsia="仿宋_GB2312"/>
          <w:b w:val="0"/>
          <w:bCs/>
          <w:color w:val="000000"/>
          <w:sz w:val="32"/>
          <w:szCs w:val="32"/>
          <w:lang w:val="en-US" w:eastAsia="zh-CN"/>
        </w:rPr>
        <w:t>40.07</w:t>
      </w:r>
      <w:r>
        <w:rPr>
          <w:rFonts w:hint="eastAsia" w:ascii="仿宋_GB2312" w:eastAsia="仿宋_GB2312"/>
          <w:b w:val="0"/>
          <w:bCs/>
          <w:color w:val="000000"/>
          <w:sz w:val="32"/>
          <w:szCs w:val="32"/>
        </w:rPr>
        <w:t>万元。全年按规定更新购置公务用车</w:t>
      </w:r>
      <w:r>
        <w:rPr>
          <w:rFonts w:hint="eastAsia" w:ascii="仿宋_GB2312" w:eastAsia="仿宋_GB2312"/>
          <w:b w:val="0"/>
          <w:bCs/>
          <w:color w:val="000000"/>
          <w:sz w:val="32"/>
          <w:szCs w:val="32"/>
          <w:lang w:val="en-US" w:eastAsia="zh-CN"/>
        </w:rPr>
        <w:t>1</w:t>
      </w:r>
      <w:r>
        <w:rPr>
          <w:rFonts w:hint="eastAsia" w:ascii="仿宋_GB2312" w:eastAsia="仿宋_GB2312"/>
          <w:b w:val="0"/>
          <w:bCs/>
          <w:color w:val="000000"/>
          <w:sz w:val="32"/>
          <w:szCs w:val="32"/>
        </w:rPr>
        <w:t>辆，金额</w:t>
      </w:r>
      <w:r>
        <w:rPr>
          <w:rFonts w:hint="eastAsia" w:ascii="仿宋_GB2312" w:eastAsia="仿宋_GB2312"/>
          <w:b w:val="0"/>
          <w:bCs/>
          <w:color w:val="000000"/>
          <w:sz w:val="32"/>
          <w:szCs w:val="32"/>
          <w:lang w:val="en-US" w:eastAsia="zh-CN"/>
        </w:rPr>
        <w:t>40.07</w:t>
      </w:r>
      <w:r>
        <w:rPr>
          <w:rFonts w:hint="eastAsia" w:ascii="仿宋_GB2312" w:eastAsia="仿宋_GB2312"/>
          <w:b w:val="0"/>
          <w:bCs/>
          <w:color w:val="000000"/>
          <w:sz w:val="32"/>
          <w:szCs w:val="32"/>
        </w:rPr>
        <w:t>万元。截至</w:t>
      </w:r>
      <w:r>
        <w:rPr>
          <w:rFonts w:hint="eastAsia" w:ascii="仿宋_GB2312" w:eastAsia="仿宋_GB2312"/>
          <w:b w:val="0"/>
          <w:bCs/>
          <w:color w:val="000000"/>
          <w:sz w:val="32"/>
          <w:szCs w:val="32"/>
          <w:lang w:val="en-US" w:eastAsia="zh-CN"/>
        </w:rPr>
        <w:t>2020</w:t>
      </w:r>
      <w:r>
        <w:rPr>
          <w:rFonts w:hint="eastAsia" w:ascii="仿宋_GB2312" w:eastAsia="仿宋_GB2312"/>
          <w:b w:val="0"/>
          <w:bCs/>
          <w:color w:val="000000"/>
          <w:sz w:val="32"/>
          <w:szCs w:val="32"/>
        </w:rPr>
        <w:t>年12月底，单位共有公务用车</w:t>
      </w:r>
      <w:r>
        <w:rPr>
          <w:rFonts w:hint="eastAsia" w:ascii="仿宋_GB2312" w:eastAsia="仿宋_GB2312"/>
          <w:b w:val="0"/>
          <w:bCs/>
          <w:color w:val="000000"/>
          <w:sz w:val="32"/>
          <w:szCs w:val="32"/>
          <w:lang w:val="en-US" w:eastAsia="zh-CN"/>
        </w:rPr>
        <w:t>6</w:t>
      </w:r>
      <w:r>
        <w:rPr>
          <w:rFonts w:hint="eastAsia" w:ascii="仿宋_GB2312" w:eastAsia="仿宋_GB2312"/>
          <w:b w:val="0"/>
          <w:bCs/>
          <w:color w:val="000000"/>
          <w:sz w:val="32"/>
          <w:szCs w:val="32"/>
        </w:rPr>
        <w:t>辆，其中：主要领导干部用车0辆、机要通信用车0辆、应急保障用车0辆、执法执勤用车0辆、特种专业技术用车0 辆、离退休干部用车0辆、其他用车</w:t>
      </w:r>
      <w:r>
        <w:rPr>
          <w:rFonts w:hint="eastAsia" w:ascii="仿宋_GB2312" w:eastAsia="仿宋_GB2312"/>
          <w:b w:val="0"/>
          <w:bCs/>
          <w:color w:val="000000"/>
          <w:sz w:val="32"/>
          <w:szCs w:val="32"/>
          <w:lang w:val="en-US" w:eastAsia="zh-CN"/>
        </w:rPr>
        <w:t>6</w:t>
      </w:r>
      <w:r>
        <w:rPr>
          <w:rFonts w:hint="eastAsia" w:ascii="仿宋_GB2312" w:eastAsia="仿宋_GB2312"/>
          <w:b w:val="0"/>
          <w:bCs/>
          <w:color w:val="000000"/>
          <w:sz w:val="32"/>
          <w:szCs w:val="32"/>
        </w:rPr>
        <w:t>辆。</w:t>
      </w:r>
    </w:p>
    <w:p>
      <w:pPr>
        <w:spacing w:line="600" w:lineRule="exact"/>
        <w:ind w:firstLine="640"/>
        <w:outlineLvl w:val="1"/>
        <w:rPr>
          <w:rFonts w:hint="eastAsia" w:ascii="仿宋_GB2312" w:eastAsia="仿宋_GB2312"/>
          <w:b w:val="0"/>
          <w:bCs/>
          <w:color w:val="000000"/>
          <w:sz w:val="32"/>
          <w:szCs w:val="32"/>
        </w:rPr>
      </w:pPr>
      <w:bookmarkStart w:id="62" w:name="_Toc16464"/>
      <w:r>
        <w:rPr>
          <w:rFonts w:hint="eastAsia" w:ascii="仿宋_GB2312" w:eastAsia="仿宋_GB2312"/>
          <w:b w:val="0"/>
          <w:bCs/>
          <w:color w:val="000000"/>
          <w:sz w:val="32"/>
          <w:szCs w:val="32"/>
        </w:rPr>
        <w:t>公务用车运行维护费支出</w:t>
      </w:r>
      <w:r>
        <w:rPr>
          <w:rFonts w:hint="eastAsia" w:ascii="仿宋_GB2312" w:eastAsia="仿宋_GB2312"/>
          <w:b w:val="0"/>
          <w:bCs/>
          <w:color w:val="000000"/>
          <w:sz w:val="32"/>
          <w:szCs w:val="32"/>
          <w:lang w:val="en-US" w:eastAsia="zh-CN"/>
        </w:rPr>
        <w:t>39.10</w:t>
      </w:r>
      <w:r>
        <w:rPr>
          <w:rFonts w:hint="eastAsia" w:ascii="仿宋_GB2312" w:eastAsia="仿宋_GB2312"/>
          <w:b w:val="0"/>
          <w:bCs/>
          <w:color w:val="000000"/>
          <w:sz w:val="32"/>
          <w:szCs w:val="32"/>
        </w:rPr>
        <w:t>万元。主要用于</w:t>
      </w:r>
      <w:r>
        <w:rPr>
          <w:rFonts w:hint="eastAsia" w:ascii="仿宋_GB2312" w:eastAsia="仿宋_GB2312"/>
          <w:b w:val="0"/>
          <w:bCs/>
          <w:color w:val="000000"/>
          <w:sz w:val="32"/>
          <w:szCs w:val="32"/>
          <w:lang w:val="en-US" w:eastAsia="zh-CN"/>
        </w:rPr>
        <w:t>开展全州住房和城乡建设工作</w:t>
      </w:r>
      <w:r>
        <w:rPr>
          <w:rFonts w:hint="eastAsia" w:ascii="仿宋_GB2312" w:eastAsia="仿宋_GB2312"/>
          <w:b w:val="0"/>
          <w:bCs/>
          <w:color w:val="000000"/>
          <w:sz w:val="32"/>
          <w:szCs w:val="32"/>
        </w:rPr>
        <w:t>所需的公务用车燃料费、维修费、过路过桥费、保险费等支出。</w:t>
      </w:r>
      <w:bookmarkEnd w:id="62"/>
    </w:p>
    <w:p>
      <w:pPr>
        <w:spacing w:line="600" w:lineRule="exact"/>
        <w:ind w:firstLine="640"/>
        <w:outlineLvl w:val="1"/>
        <w:rPr>
          <w:rFonts w:hint="default" w:ascii="仿宋_GB2312" w:eastAsia="仿宋_GB2312"/>
          <w:b w:val="0"/>
          <w:bCs/>
          <w:color w:val="000000"/>
          <w:sz w:val="32"/>
          <w:szCs w:val="32"/>
          <w:lang w:val="en-US" w:eastAsia="zh-CN"/>
        </w:rPr>
      </w:pPr>
      <w:bookmarkStart w:id="63" w:name="_Toc19228"/>
      <w:r>
        <w:rPr>
          <w:rFonts w:hint="eastAsia" w:ascii="仿宋_GB2312" w:eastAsia="仿宋_GB2312"/>
          <w:b w:val="0"/>
          <w:bCs/>
          <w:color w:val="000000"/>
          <w:sz w:val="32"/>
          <w:szCs w:val="32"/>
        </w:rPr>
        <w:t>3.公务接待费支出</w:t>
      </w:r>
      <w:r>
        <w:rPr>
          <w:rFonts w:hint="eastAsia" w:ascii="仿宋_GB2312" w:eastAsia="仿宋_GB2312"/>
          <w:b w:val="0"/>
          <w:bCs/>
          <w:color w:val="000000"/>
          <w:sz w:val="32"/>
          <w:szCs w:val="32"/>
          <w:lang w:val="en-US" w:eastAsia="zh-CN"/>
        </w:rPr>
        <w:t>0</w:t>
      </w:r>
      <w:r>
        <w:rPr>
          <w:rFonts w:hint="eastAsia" w:ascii="仿宋_GB2312" w:eastAsia="仿宋_GB2312"/>
          <w:b w:val="0"/>
          <w:bCs/>
          <w:color w:val="000000"/>
          <w:sz w:val="32"/>
          <w:szCs w:val="32"/>
        </w:rPr>
        <w:t>万元，完成预算</w:t>
      </w:r>
      <w:r>
        <w:rPr>
          <w:rFonts w:hint="eastAsia" w:ascii="仿宋_GB2312" w:eastAsia="仿宋_GB2312"/>
          <w:b w:val="0"/>
          <w:bCs/>
          <w:color w:val="000000"/>
          <w:sz w:val="32"/>
          <w:szCs w:val="32"/>
          <w:lang w:val="en-US" w:eastAsia="zh-CN"/>
        </w:rPr>
        <w:t>0</w:t>
      </w:r>
      <w:r>
        <w:rPr>
          <w:rFonts w:hint="eastAsia" w:ascii="仿宋_GB2312" w:eastAsia="仿宋_GB2312"/>
          <w:b w:val="0"/>
          <w:bCs/>
          <w:color w:val="000000"/>
          <w:sz w:val="32"/>
          <w:szCs w:val="32"/>
        </w:rPr>
        <w:t>%。公务接待费支出决算比201</w:t>
      </w:r>
      <w:r>
        <w:rPr>
          <w:rFonts w:hint="eastAsia" w:ascii="仿宋_GB2312" w:eastAsia="仿宋_GB2312"/>
          <w:b w:val="0"/>
          <w:bCs/>
          <w:color w:val="000000"/>
          <w:sz w:val="32"/>
          <w:szCs w:val="32"/>
          <w:lang w:val="en-US" w:eastAsia="zh-CN"/>
        </w:rPr>
        <w:t>9</w:t>
      </w:r>
      <w:r>
        <w:rPr>
          <w:rFonts w:hint="eastAsia" w:ascii="仿宋_GB2312" w:eastAsia="仿宋_GB2312"/>
          <w:b w:val="0"/>
          <w:bCs/>
          <w:color w:val="000000"/>
          <w:sz w:val="32"/>
          <w:szCs w:val="32"/>
        </w:rPr>
        <w:t>年</w:t>
      </w:r>
      <w:r>
        <w:rPr>
          <w:rFonts w:hint="eastAsia" w:ascii="仿宋_GB2312" w:eastAsia="仿宋_GB2312"/>
          <w:b w:val="0"/>
          <w:bCs/>
          <w:color w:val="000000"/>
          <w:sz w:val="32"/>
          <w:szCs w:val="32"/>
          <w:lang w:val="en-US" w:eastAsia="zh-CN"/>
        </w:rPr>
        <w:t>减少0.32</w:t>
      </w:r>
      <w:r>
        <w:rPr>
          <w:rFonts w:hint="eastAsia" w:ascii="仿宋_GB2312" w:eastAsia="仿宋_GB2312"/>
          <w:b w:val="0"/>
          <w:bCs/>
          <w:color w:val="000000"/>
          <w:sz w:val="32"/>
          <w:szCs w:val="32"/>
        </w:rPr>
        <w:t>万元，</w:t>
      </w:r>
      <w:r>
        <w:rPr>
          <w:rFonts w:hint="eastAsia" w:ascii="仿宋_GB2312" w:eastAsia="仿宋_GB2312"/>
          <w:b w:val="0"/>
          <w:bCs/>
          <w:color w:val="000000"/>
          <w:sz w:val="32"/>
          <w:szCs w:val="32"/>
          <w:lang w:val="en-US" w:eastAsia="zh-CN"/>
        </w:rPr>
        <w:t>降低100</w:t>
      </w:r>
      <w:r>
        <w:rPr>
          <w:rFonts w:hint="eastAsia" w:ascii="仿宋_GB2312" w:eastAsia="仿宋_GB2312"/>
          <w:b w:val="0"/>
          <w:bCs/>
          <w:color w:val="000000"/>
          <w:sz w:val="32"/>
          <w:szCs w:val="32"/>
        </w:rPr>
        <w:t>%。主要原因是</w:t>
      </w:r>
      <w:r>
        <w:rPr>
          <w:rFonts w:hint="eastAsia" w:ascii="仿宋_GB2312" w:eastAsia="仿宋_GB2312"/>
          <w:b w:val="0"/>
          <w:bCs/>
          <w:color w:val="000000"/>
          <w:sz w:val="32"/>
          <w:szCs w:val="32"/>
          <w:lang w:val="en-US" w:eastAsia="zh-CN"/>
        </w:rPr>
        <w:t>2020年公务接待费通过事业机构核算。</w:t>
      </w:r>
      <w:bookmarkEnd w:id="63"/>
    </w:p>
    <w:p>
      <w:pPr>
        <w:spacing w:line="600" w:lineRule="exact"/>
        <w:ind w:firstLine="640"/>
        <w:outlineLvl w:val="1"/>
        <w:rPr>
          <w:rStyle w:val="25"/>
          <w:rFonts w:ascii="黑体" w:hAnsi="黑体" w:eastAsia="黑体"/>
        </w:rPr>
      </w:pPr>
      <w:bookmarkStart w:id="64" w:name="_Toc11506"/>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60"/>
      <w:bookmarkEnd w:id="61"/>
      <w:bookmarkEnd w:id="6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65" w:name="_Toc15377219"/>
      <w:bookmarkStart w:id="66" w:name="_Toc15396611"/>
      <w:bookmarkStart w:id="67" w:name="_Toc5857"/>
      <w:r>
        <w:rPr>
          <w:rStyle w:val="25"/>
          <w:rFonts w:hint="eastAsia" w:ascii="黑体" w:hAnsi="黑体" w:eastAsia="黑体"/>
          <w:b w:val="0"/>
        </w:rPr>
        <w:t>国有资本经营预算支出决算情况说明</w:t>
      </w:r>
      <w:bookmarkEnd w:id="65"/>
      <w:bookmarkEnd w:id="66"/>
      <w:bookmarkEnd w:id="6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68" w:name="_Toc19437"/>
      <w:bookmarkStart w:id="69" w:name="_Toc15377221"/>
      <w:bookmarkStart w:id="70"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68"/>
      <w:bookmarkEnd w:id="69"/>
      <w:bookmarkEnd w:id="70"/>
    </w:p>
    <w:p>
      <w:pPr>
        <w:spacing w:line="600" w:lineRule="exact"/>
        <w:ind w:firstLine="642" w:firstLineChars="200"/>
        <w:outlineLvl w:val="2"/>
        <w:rPr>
          <w:rFonts w:hint="eastAsia" w:ascii="楷体_GB2312" w:hAnsi="楷体_GB2312" w:eastAsia="楷体_GB2312" w:cs="楷体_GB2312"/>
          <w:color w:val="000000"/>
          <w:sz w:val="32"/>
          <w:szCs w:val="32"/>
        </w:rPr>
      </w:pPr>
      <w:bookmarkStart w:id="71" w:name="_Toc15377222"/>
      <w:r>
        <w:rPr>
          <w:rFonts w:hint="eastAsia" w:ascii="楷体_GB2312" w:hAnsi="楷体_GB2312" w:eastAsia="楷体_GB2312" w:cs="楷体_GB2312"/>
          <w:b/>
          <w:color w:val="000000"/>
          <w:sz w:val="32"/>
          <w:szCs w:val="32"/>
        </w:rPr>
        <w:t>（一）机关运行经费支出情况</w:t>
      </w:r>
      <w:bookmarkEnd w:id="71"/>
    </w:p>
    <w:p>
      <w:pPr>
        <w:spacing w:line="600" w:lineRule="exact"/>
        <w:ind w:firstLine="640" w:firstLineChars="200"/>
        <w:rPr>
          <w:rFonts w:hint="default" w:ascii="仿宋" w:hAnsi="仿宋" w:eastAsia="仿宋_GB2312"/>
          <w:b/>
          <w:color w:val="FF0000"/>
          <w:sz w:val="32"/>
          <w:szCs w:val="32"/>
          <w:lang w:val="en-US" w:eastAsia="zh-CN"/>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年，四川省阿坝州住房和城乡建设局（本级）机关运行经费支出</w:t>
      </w:r>
      <w:r>
        <w:rPr>
          <w:rFonts w:hint="eastAsia" w:ascii="仿宋_GB2312" w:eastAsia="仿宋_GB2312"/>
          <w:color w:val="000000"/>
          <w:sz w:val="32"/>
          <w:szCs w:val="32"/>
          <w:lang w:val="en-US" w:eastAsia="zh-CN"/>
        </w:rPr>
        <w:t>133.21</w:t>
      </w:r>
      <w:r>
        <w:rPr>
          <w:rFonts w:hint="eastAsia" w:ascii="仿宋_GB2312" w:eastAsia="仿宋_GB2312"/>
          <w:color w:val="000000"/>
          <w:sz w:val="32"/>
          <w:szCs w:val="32"/>
        </w:rPr>
        <w:t>万元，比</w:t>
      </w:r>
      <w:r>
        <w:rPr>
          <w:rFonts w:hint="eastAsia" w:ascii="仿宋_GB2312" w:eastAsia="仿宋_GB2312"/>
          <w:color w:val="000000"/>
          <w:sz w:val="32"/>
          <w:szCs w:val="32"/>
          <w:lang w:eastAsia="zh-CN"/>
        </w:rPr>
        <w:t>2019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增加3.05</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增加2.3</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更新购置公务用车1辆，公务用车购置及运行维护费增加。</w:t>
      </w:r>
    </w:p>
    <w:p>
      <w:pPr>
        <w:autoSpaceDE w:val="0"/>
        <w:autoSpaceDN w:val="0"/>
        <w:adjustRightInd w:val="0"/>
        <w:spacing w:line="600" w:lineRule="exact"/>
        <w:ind w:firstLine="642" w:firstLineChars="200"/>
        <w:jc w:val="left"/>
        <w:outlineLvl w:val="2"/>
        <w:rPr>
          <w:rFonts w:hint="eastAsia" w:ascii="楷体_GB2312" w:hAnsi="楷体_GB2312" w:eastAsia="楷体_GB2312" w:cs="楷体_GB2312"/>
          <w:b/>
          <w:color w:val="000000"/>
          <w:sz w:val="32"/>
          <w:szCs w:val="32"/>
        </w:rPr>
      </w:pPr>
      <w:bookmarkStart w:id="72" w:name="_Toc15377223"/>
      <w:r>
        <w:rPr>
          <w:rFonts w:hint="eastAsia" w:ascii="楷体_GB2312" w:hAnsi="楷体_GB2312" w:eastAsia="楷体_GB2312" w:cs="楷体_GB2312"/>
          <w:b/>
          <w:color w:val="000000"/>
          <w:sz w:val="32"/>
          <w:szCs w:val="32"/>
        </w:rPr>
        <w:t>（二）政府采购支出情况</w:t>
      </w:r>
      <w:bookmarkEnd w:id="7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年，四川省阿坝州住房和城乡建设局（本级）政府采购支出总额</w:t>
      </w:r>
      <w:r>
        <w:rPr>
          <w:rFonts w:hint="eastAsia" w:ascii="仿宋_GB2312" w:eastAsia="仿宋_GB2312"/>
          <w:color w:val="000000"/>
          <w:sz w:val="32"/>
          <w:szCs w:val="32"/>
          <w:lang w:val="en-US" w:eastAsia="zh-CN"/>
        </w:rPr>
        <w:t>114.42</w:t>
      </w:r>
      <w:r>
        <w:rPr>
          <w:rFonts w:hint="eastAsia" w:ascii="仿宋_GB2312" w:eastAsia="仿宋_GB2312"/>
          <w:color w:val="000000"/>
          <w:sz w:val="32"/>
          <w:szCs w:val="32"/>
        </w:rPr>
        <w:t xml:space="preserve">万元，其中：政府采购货物支出 </w:t>
      </w:r>
      <w:r>
        <w:rPr>
          <w:rFonts w:hint="eastAsia" w:ascii="仿宋_GB2312" w:eastAsia="仿宋_GB2312"/>
          <w:color w:val="000000"/>
          <w:sz w:val="32"/>
          <w:szCs w:val="32"/>
          <w:lang w:val="en-US" w:eastAsia="zh-CN"/>
        </w:rPr>
        <w:t>47.58</w:t>
      </w:r>
      <w:r>
        <w:rPr>
          <w:rFonts w:hint="eastAsia" w:ascii="仿宋_GB2312" w:eastAsia="仿宋_GB2312"/>
          <w:color w:val="000000"/>
          <w:sz w:val="32"/>
          <w:szCs w:val="32"/>
        </w:rPr>
        <w:t>万元、政府采购工程支出0.00万元、政府采购服务支出</w:t>
      </w:r>
      <w:r>
        <w:rPr>
          <w:rFonts w:hint="eastAsia" w:ascii="仿宋_GB2312" w:eastAsia="仿宋_GB2312"/>
          <w:color w:val="000000"/>
          <w:sz w:val="32"/>
          <w:szCs w:val="32"/>
          <w:lang w:val="en-US" w:eastAsia="zh-CN"/>
        </w:rPr>
        <w:t>66.85</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114.42</w:t>
      </w:r>
      <w:r>
        <w:rPr>
          <w:rFonts w:hint="eastAsia" w:ascii="仿宋_GB2312" w:eastAsia="仿宋_GB2312"/>
          <w:color w:val="000000"/>
          <w:sz w:val="32"/>
          <w:szCs w:val="32"/>
        </w:rPr>
        <w:t>，占政府采购支出总额的100.00%，其中：授予小微企业合同金额</w:t>
      </w:r>
      <w:r>
        <w:rPr>
          <w:rFonts w:hint="eastAsia" w:ascii="仿宋_GB2312" w:eastAsia="仿宋_GB2312"/>
          <w:color w:val="000000"/>
          <w:sz w:val="32"/>
          <w:szCs w:val="32"/>
          <w:lang w:val="en-US" w:eastAsia="zh-CN"/>
        </w:rPr>
        <w:t>12.80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11.19</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73" w:name="_Toc15377224"/>
      <w:r>
        <w:rPr>
          <w:rFonts w:hint="eastAsia" w:ascii="仿宋" w:hAnsi="仿宋" w:eastAsia="仿宋"/>
          <w:b/>
          <w:color w:val="000000"/>
          <w:sz w:val="32"/>
          <w:szCs w:val="32"/>
        </w:rPr>
        <w:t>（</w:t>
      </w:r>
      <w:r>
        <w:rPr>
          <w:rFonts w:hint="eastAsia" w:ascii="楷体_GB2312" w:hAnsi="楷体_GB2312" w:eastAsia="楷体_GB2312" w:cs="楷体_GB2312"/>
          <w:b/>
          <w:color w:val="000000"/>
          <w:sz w:val="32"/>
          <w:szCs w:val="32"/>
        </w:rPr>
        <w:t>三）国有资产占有使用情况</w:t>
      </w:r>
      <w:bookmarkEnd w:id="73"/>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截</w:t>
      </w:r>
      <w:r>
        <w:rPr>
          <w:rFonts w:hint="eastAsia" w:ascii="仿宋_GB2312" w:eastAsia="仿宋_GB2312"/>
          <w:color w:val="000000"/>
          <w:sz w:val="32"/>
          <w:szCs w:val="32"/>
          <w:lang w:val="en-US" w:eastAsia="zh-CN"/>
        </w:rPr>
        <w:t>止2020</w:t>
      </w:r>
      <w:r>
        <w:rPr>
          <w:rFonts w:hint="eastAsia" w:ascii="仿宋_GB2312" w:eastAsia="仿宋_GB2312"/>
          <w:color w:val="000000"/>
          <w:sz w:val="32"/>
          <w:szCs w:val="32"/>
        </w:rPr>
        <w:t>年12月31日，四川省阿坝州住房和城乡建设局（本级）共有车辆</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辆，其中：主要领导干部用车0 辆、机要通信用车0辆、应急保障用车0辆、执法执勤用车0 辆、特种专业技术用车0辆、离退休干部用车0辆、其他用车</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b/>
          <w:color w:val="FF0000"/>
          <w:sz w:val="32"/>
          <w:szCs w:val="32"/>
        </w:rPr>
      </w:pPr>
      <w:r>
        <w:rPr>
          <w:rFonts w:hint="eastAsia" w:ascii="仿宋_GB2312" w:eastAsia="仿宋_GB2312"/>
          <w:color w:val="000000"/>
          <w:sz w:val="32"/>
          <w:szCs w:val="32"/>
        </w:rPr>
        <w:t>单价50万元以上通用设备2台（套），单价100万元以上专用设备0台（套）。</w:t>
      </w:r>
    </w:p>
    <w:p>
      <w:pPr>
        <w:autoSpaceDE w:val="0"/>
        <w:autoSpaceDN w:val="0"/>
        <w:adjustRightInd w:val="0"/>
        <w:spacing w:line="600" w:lineRule="exact"/>
        <w:ind w:firstLine="642" w:firstLineChars="200"/>
        <w:jc w:val="left"/>
        <w:outlineLvl w:val="2"/>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个项目开展了绩效目标完成情况自评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公开5个项目自评报告，见附件2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val="en-US" w:eastAsia="zh-CN"/>
        </w:rPr>
        <w:t>本部门按照年初预算绩效目标较好的完成了项目目标任务。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val="en-US" w:eastAsia="zh-CN"/>
        </w:rPr>
        <w:t>阿坝州住房和城乡建设局2020</w:t>
      </w:r>
      <w:r>
        <w:rPr>
          <w:rFonts w:hint="eastAsia" w:ascii="仿宋_GB2312" w:hAnsi="仿宋_GB2312" w:eastAsia="仿宋_GB2312" w:cs="仿宋_GB2312"/>
          <w:sz w:val="32"/>
          <w:szCs w:val="32"/>
        </w:rPr>
        <w:t>年部门整体支出绩效评价报告》见附件（附件1）。</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74" w:name="_Toc15377225"/>
      <w:bookmarkStart w:id="75" w:name="_Toc15396613"/>
      <w:bookmarkStart w:id="76" w:name="_Toc21424"/>
      <w:r>
        <w:rPr>
          <w:rFonts w:hint="eastAsia" w:ascii="黑体" w:hAnsi="黑体" w:eastAsia="黑体"/>
          <w:color w:val="000000"/>
          <w:sz w:val="44"/>
          <w:szCs w:val="44"/>
        </w:rPr>
        <w:t>名</w:t>
      </w:r>
      <w:r>
        <w:rPr>
          <w:rStyle w:val="24"/>
          <w:rFonts w:hint="eastAsia" w:ascii="黑体" w:hAnsi="黑体" w:eastAsia="黑体"/>
          <w:b w:val="0"/>
        </w:rPr>
        <w:t>词解释</w:t>
      </w:r>
      <w:bookmarkEnd w:id="74"/>
      <w:bookmarkEnd w:id="75"/>
      <w:bookmarkEnd w:id="7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9.城乡社区支出（类）</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城乡社区管理事务（款）</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行政运行（项）: 反映行政单位的基本支出。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一般行政管理事务</w:t>
      </w:r>
      <w:r>
        <w:rPr>
          <w:rFonts w:hint="eastAsia" w:ascii="仿宋_GB2312" w:eastAsia="仿宋_GB2312"/>
          <w:color w:val="000000"/>
          <w:sz w:val="32"/>
          <w:szCs w:val="32"/>
        </w:rPr>
        <w:t>（项）: 反映行政单位的</w:t>
      </w:r>
      <w:r>
        <w:rPr>
          <w:rFonts w:hint="eastAsia" w:ascii="仿宋_GB2312" w:eastAsia="仿宋_GB2312"/>
          <w:color w:val="000000"/>
          <w:sz w:val="32"/>
          <w:szCs w:val="32"/>
          <w:lang w:val="en-US" w:eastAsia="zh-CN"/>
        </w:rPr>
        <w:t>项目</w:t>
      </w:r>
      <w:r>
        <w:rPr>
          <w:rFonts w:hint="eastAsia" w:ascii="仿宋_GB2312" w:eastAsia="仿宋_GB2312"/>
          <w:color w:val="000000"/>
          <w:sz w:val="32"/>
          <w:szCs w:val="32"/>
        </w:rPr>
        <w:t>支出</w:t>
      </w:r>
      <w:r>
        <w:rPr>
          <w:rFonts w:hint="eastAsia" w:ascii="仿宋_GB2312" w:eastAsia="仿宋_GB2312"/>
          <w:color w:val="000000"/>
          <w:sz w:val="32"/>
          <w:szCs w:val="32"/>
          <w:lang w:eastAsia="zh-CN"/>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.住房保障</w:t>
      </w:r>
      <w:r>
        <w:rPr>
          <w:rFonts w:hint="eastAsia" w:ascii="仿宋_GB2312" w:eastAsia="仿宋_GB2312"/>
          <w:color w:val="000000"/>
          <w:sz w:val="32"/>
          <w:szCs w:val="32"/>
          <w:lang w:val="en-US" w:eastAsia="zh-CN"/>
        </w:rPr>
        <w:t>和就业</w:t>
      </w:r>
      <w:r>
        <w:rPr>
          <w:rFonts w:hint="eastAsia" w:ascii="仿宋_GB2312" w:eastAsia="仿宋_GB2312"/>
          <w:color w:val="000000"/>
          <w:sz w:val="32"/>
          <w:szCs w:val="32"/>
        </w:rPr>
        <w:t>支出（类）</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住房改革支出（款）</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住房公积金（项）:反映行政事业单位按人力资源和社会保障部、财政部规定的基本工资和津贴补贴以及规定比例为职工缴纳的住房公积金。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.社会保障和就业（类）</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行政事业单位离退休（款）</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机关事业单位基本养老保险缴费（项）:反映各级财政部门对机关事业单位基本养老保险基金收支缺口的补助。</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机关事业单位职业年金缴费支出（项）: 反映机关事业单位实施养老保险制度由单位实际缴纳的职业年金支出。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.卫生健康支出（类）</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行政事业单位医疗</w:t>
      </w:r>
      <w:r>
        <w:rPr>
          <w:rFonts w:hint="eastAsia" w:ascii="仿宋_GB2312" w:eastAsia="仿宋_GB2312"/>
          <w:color w:val="000000"/>
          <w:sz w:val="32"/>
          <w:szCs w:val="32"/>
        </w:rPr>
        <w:t>（款）</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行政单位医疗（项）:反映财政对基本医疗保险基金的补助。</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公务员医疗补助（项）：反应</w:t>
      </w:r>
      <w:r>
        <w:rPr>
          <w:rFonts w:hint="eastAsia" w:ascii="仿宋_GB2312" w:eastAsia="仿宋_GB2312"/>
          <w:color w:val="000000"/>
          <w:sz w:val="32"/>
          <w:szCs w:val="32"/>
        </w:rPr>
        <w:t>反映财政对</w:t>
      </w:r>
      <w:r>
        <w:rPr>
          <w:rFonts w:hint="eastAsia" w:ascii="仿宋_GB2312" w:eastAsia="仿宋_GB2312"/>
          <w:color w:val="000000"/>
          <w:sz w:val="32"/>
          <w:szCs w:val="32"/>
          <w:lang w:val="en-US" w:eastAsia="zh-CN"/>
        </w:rPr>
        <w:t>公务员补充医</w:t>
      </w:r>
      <w:r>
        <w:rPr>
          <w:rFonts w:hint="eastAsia" w:ascii="仿宋_GB2312" w:eastAsia="仿宋_GB2312"/>
          <w:color w:val="000000"/>
          <w:sz w:val="32"/>
          <w:szCs w:val="32"/>
        </w:rPr>
        <w:t>疗保险的补助</w:t>
      </w:r>
      <w:r>
        <w:rPr>
          <w:rFonts w:hint="eastAsia" w:ascii="仿宋_GB2312" w:eastAsia="仿宋_GB2312"/>
          <w:color w:val="000000"/>
          <w:sz w:val="32"/>
          <w:szCs w:val="32"/>
          <w:lang w:eastAsia="zh-CN"/>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77" w:name="_Toc15377226"/>
      <w:r>
        <w:rPr>
          <w:rFonts w:ascii="宋体"/>
          <w:b/>
          <w:color w:val="000000"/>
          <w:sz w:val="44"/>
          <w:szCs w:val="44"/>
        </w:rPr>
        <w:br w:type="page"/>
      </w:r>
      <w:bookmarkStart w:id="78" w:name="_Toc2409"/>
      <w:bookmarkStart w:id="79"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78"/>
      <w:bookmarkEnd w:id="79"/>
    </w:p>
    <w:p>
      <w:pPr>
        <w:spacing w:line="600" w:lineRule="exact"/>
        <w:jc w:val="left"/>
        <w:outlineLvl w:val="0"/>
        <w:rPr>
          <w:rFonts w:ascii="方正小标宋简体" w:hAnsi="方正小标宋简体" w:eastAsia="方正小标宋简体" w:cs="方正小标宋简体"/>
          <w:sz w:val="32"/>
          <w:szCs w:val="32"/>
        </w:rPr>
      </w:pPr>
      <w:bookmarkStart w:id="80" w:name="_Toc31784"/>
      <w:r>
        <w:rPr>
          <w:rFonts w:hint="eastAsia" w:ascii="黑体" w:hAnsi="黑体" w:eastAsia="黑体" w:cs="黑体"/>
          <w:sz w:val="32"/>
          <w:szCs w:val="32"/>
        </w:rPr>
        <w:t>附件1</w:t>
      </w:r>
      <w:bookmarkEnd w:id="80"/>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en-US" w:eastAsia="zh-CN"/>
        </w:rPr>
      </w:pPr>
      <w:r>
        <w:rPr>
          <w:rFonts w:hint="eastAsia" w:ascii="方正小标宋简体" w:hAnsi="宋体" w:eastAsia="方正小标宋简体"/>
          <w:color w:val="000000"/>
          <w:kern w:val="0"/>
          <w:sz w:val="40"/>
          <w:szCs w:val="44"/>
          <w:lang w:val="en-US" w:eastAsia="zh-CN"/>
        </w:rPr>
        <w:t>阿坝州住房和城乡建设局</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en-US" w:eastAsia="zh-CN"/>
        </w:rPr>
        <w:t>2020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spacing w:line="580" w:lineRule="exact"/>
        <w:ind w:firstLine="640" w:firstLineChars="200"/>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一、部门（单位）概况</w:t>
      </w:r>
    </w:p>
    <w:p>
      <w:pPr>
        <w:spacing w:line="580" w:lineRule="exact"/>
        <w:ind w:firstLine="642" w:firstLineChars="200"/>
        <w:rPr>
          <w:rFonts w:hint="eastAsia" w:ascii="仿宋_GB2312" w:hAnsi="仿宋_GB2312" w:eastAsia="仿宋_GB2312" w:cs="仿宋_GB2312"/>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（一）机构组成。</w:t>
      </w:r>
      <w:r>
        <w:rPr>
          <w:rFonts w:hint="eastAsia" w:ascii="仿宋_GB2312" w:hAnsi="仿宋_GB2312" w:eastAsia="仿宋_GB2312" w:cs="仿宋_GB2312"/>
          <w:color w:val="000000"/>
          <w:kern w:val="0"/>
          <w:sz w:val="32"/>
          <w:szCs w:val="32"/>
          <w:shd w:val="clear" w:color="auto" w:fill="FFFFFF"/>
        </w:rPr>
        <w:t>阿坝州住房和城乡建设局根据《中共阿坝州委机构编制委员会关于调整州住房和城乡建设局机构编制事项的通知》（阿编发[2019]77号）以及《中共阿坝州委机构编制委员会关于调整州住房和城乡建设局所属事业单位有关机构编制事项的通知》（阿编发[2019]53号）批准，下属阿坝州城市管理综合行政执法监督局、阿坝州建设工程质量安全监督站（州工程造价站）2个直属参公事业单位和阿坝州城乡环境综合治理服务中心、阿坝州房产交易中心2个直属事业单位。</w:t>
      </w:r>
    </w:p>
    <w:p>
      <w:pPr>
        <w:spacing w:line="580" w:lineRule="exact"/>
        <w:ind w:firstLine="642" w:firstLineChars="200"/>
        <w:rPr>
          <w:rFonts w:hint="eastAsia" w:ascii="仿宋_GB2312" w:hAnsi="仿宋_GB2312" w:eastAsia="仿宋_GB2312" w:cs="仿宋_GB2312"/>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（二）机构职能。</w:t>
      </w:r>
      <w:r>
        <w:rPr>
          <w:rFonts w:hint="eastAsia" w:ascii="仿宋_GB2312" w:hAnsi="仿宋_GB2312" w:eastAsia="仿宋_GB2312" w:cs="仿宋_GB2312"/>
          <w:color w:val="000000"/>
          <w:kern w:val="0"/>
          <w:sz w:val="32"/>
          <w:szCs w:val="32"/>
          <w:shd w:val="clear" w:color="auto" w:fill="FFFFFF"/>
        </w:rPr>
        <w:t>阿坝州住房和城乡建设局根据《中共阿坝州委机构编制委员会关于调整州住房和城乡建设局机构编制事项的通知》（阿编发[2019]77号）批准，贯彻执行国家有关住房和城乡建设的法律、法规、规章和方针政策，统筹发展全州住房和城乡建设工作。</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阿坝州建设工程质量安全监督站（州工程造价站）负责全州建筑工程施工质量、安全生产、工地环保、竣工验收备案等工作的实施、监督执行及技术指导；负责全州建设工程监理、工程质量检测及鉴定行业的监督管理；提供全州建筑工程质量安全事故的调查服务。阿坝州城市管理综合行政执法监督局贯彻执行国家有关城市管理执法的法律、法规、规章和方针政策；组织拟订全州城市管理政策措施并监督执行；负责全州城市管理执法业务指导、组织协调、监督检查工作，指导全州城市管理执法队伍建设；组织查处涉及城乡建设领域重大案件，协调、监督跨县（市）案件的查处。</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阿坝州城乡环境综合治理服务中心依据国家、地方有关城市建设管理法律、法规、规章和《四川省城乡环境综合治理条例》等行政法规，对违反城乡环境综合治理的违法违章行为依法实施监察和处置，对全州城乡环境综合治理工作的监督、检查、指导。阿坝州房产交易中心负责宣传和执行国家、省、州有关房地产权登记管理方面的法律、法规、政策；负责全州商品房预售登记，预购登记，预售资金监督及预售商品房广告监督；负责对全州房地产交易、登记、转移、赠与、继承、租赁等活动的监管；负责全州房地产信息网络平台的建设、维护和管理；接受州级公安局、检察院、法院、纪委、组织部、省建设厅这六部门对全州特定人员的房产核查工作。</w:t>
      </w:r>
    </w:p>
    <w:p>
      <w:pPr>
        <w:spacing w:line="580" w:lineRule="exact"/>
        <w:ind w:firstLine="642" w:firstLineChars="200"/>
        <w:rPr>
          <w:rFonts w:hint="eastAsia" w:ascii="仿宋_GB2312" w:hAnsi="仿宋_GB2312" w:eastAsia="仿宋_GB2312" w:cs="仿宋_GB2312"/>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（三）人员概况</w:t>
      </w:r>
      <w:r>
        <w:rPr>
          <w:rFonts w:hint="eastAsia" w:ascii="仿宋_GB2312" w:hAnsi="仿宋_GB2312" w:eastAsia="仿宋_GB2312" w:cs="仿宋_GB2312"/>
          <w:color w:val="000000"/>
          <w:kern w:val="0"/>
          <w:sz w:val="32"/>
          <w:szCs w:val="32"/>
          <w:shd w:val="clear" w:color="auto" w:fill="FFFFFF"/>
        </w:rPr>
        <w:t>。阿坝州住房和城乡建设局现有编制</w:t>
      </w:r>
      <w:r>
        <w:rPr>
          <w:rFonts w:hint="eastAsia" w:ascii="仿宋_GB2312" w:hAnsi="仿宋_GB2312" w:eastAsia="仿宋_GB2312" w:cs="仿宋_GB2312"/>
          <w:color w:val="000000"/>
          <w:kern w:val="0"/>
          <w:sz w:val="32"/>
          <w:szCs w:val="32"/>
          <w:shd w:val="clear" w:color="auto" w:fill="FFFFFF"/>
          <w:lang w:val="en-US" w:eastAsia="zh-CN"/>
        </w:rPr>
        <w:t>36</w:t>
      </w:r>
      <w:r>
        <w:rPr>
          <w:rFonts w:hint="eastAsia" w:ascii="仿宋_GB2312" w:hAnsi="仿宋_GB2312" w:eastAsia="仿宋_GB2312" w:cs="仿宋_GB2312"/>
          <w:color w:val="000000"/>
          <w:kern w:val="0"/>
          <w:sz w:val="32"/>
          <w:szCs w:val="32"/>
          <w:shd w:val="clear" w:color="auto" w:fill="FFFFFF"/>
        </w:rPr>
        <w:t>名，其中行政编制20名（含行政工勤3名），参公编制16名。</w:t>
      </w:r>
      <w:r>
        <w:rPr>
          <w:rFonts w:hint="eastAsia" w:ascii="仿宋_GB2312" w:hAnsi="仿宋_GB2312" w:eastAsia="仿宋_GB2312" w:cs="仿宋_GB2312"/>
          <w:color w:val="000000"/>
          <w:kern w:val="0"/>
          <w:sz w:val="32"/>
          <w:szCs w:val="32"/>
          <w:shd w:val="clear" w:color="auto" w:fill="FFFFFF"/>
          <w:lang w:val="en-US" w:eastAsia="zh-CN"/>
        </w:rPr>
        <w:t>2020年末</w:t>
      </w:r>
      <w:r>
        <w:rPr>
          <w:rFonts w:hint="eastAsia" w:ascii="仿宋_GB2312" w:hAnsi="仿宋_GB2312" w:eastAsia="仿宋_GB2312" w:cs="仿宋_GB2312"/>
          <w:color w:val="000000"/>
          <w:kern w:val="0"/>
          <w:sz w:val="32"/>
          <w:szCs w:val="32"/>
          <w:shd w:val="clear" w:color="auto" w:fill="FFFFFF"/>
        </w:rPr>
        <w:t>实有在职人员</w:t>
      </w:r>
      <w:r>
        <w:rPr>
          <w:rFonts w:hint="eastAsia" w:ascii="仿宋_GB2312" w:hAnsi="仿宋_GB2312" w:eastAsia="仿宋_GB2312" w:cs="仿宋_GB2312"/>
          <w:color w:val="000000"/>
          <w:kern w:val="0"/>
          <w:sz w:val="32"/>
          <w:szCs w:val="32"/>
          <w:shd w:val="clear" w:color="auto" w:fill="FFFFFF"/>
          <w:lang w:val="en-US" w:eastAsia="zh-CN"/>
        </w:rPr>
        <w:t>33</w:t>
      </w:r>
      <w:r>
        <w:rPr>
          <w:rFonts w:hint="eastAsia" w:ascii="仿宋_GB2312" w:hAnsi="仿宋_GB2312" w:eastAsia="仿宋_GB2312" w:cs="仿宋_GB2312"/>
          <w:color w:val="000000"/>
          <w:kern w:val="0"/>
          <w:sz w:val="32"/>
          <w:szCs w:val="32"/>
          <w:shd w:val="clear" w:color="auto" w:fill="FFFFFF"/>
        </w:rPr>
        <w:t>人，其中：行政</w:t>
      </w:r>
      <w:r>
        <w:rPr>
          <w:rFonts w:hint="eastAsia" w:ascii="仿宋_GB2312" w:hAnsi="仿宋_GB2312" w:eastAsia="仿宋_GB2312" w:cs="仿宋_GB2312"/>
          <w:color w:val="000000"/>
          <w:kern w:val="0"/>
          <w:sz w:val="32"/>
          <w:szCs w:val="32"/>
          <w:shd w:val="clear" w:color="auto" w:fill="FFFFFF"/>
          <w:lang w:val="en-US" w:eastAsia="zh-CN"/>
        </w:rPr>
        <w:t>19</w:t>
      </w:r>
      <w:r>
        <w:rPr>
          <w:rFonts w:hint="eastAsia" w:ascii="仿宋_GB2312" w:hAnsi="仿宋_GB2312" w:eastAsia="仿宋_GB2312" w:cs="仿宋_GB2312"/>
          <w:color w:val="000000"/>
          <w:kern w:val="0"/>
          <w:sz w:val="32"/>
          <w:szCs w:val="32"/>
          <w:shd w:val="clear" w:color="auto" w:fill="FFFFFF"/>
        </w:rPr>
        <w:t>人，参公14人。实有退休人员</w:t>
      </w:r>
      <w:r>
        <w:rPr>
          <w:rFonts w:hint="eastAsia" w:ascii="仿宋_GB2312" w:hAnsi="仿宋_GB2312" w:eastAsia="仿宋_GB2312" w:cs="仿宋_GB2312"/>
          <w:color w:val="000000"/>
          <w:kern w:val="0"/>
          <w:sz w:val="32"/>
          <w:szCs w:val="32"/>
          <w:shd w:val="clear" w:color="auto" w:fill="FFFFFF"/>
          <w:lang w:val="en-US" w:eastAsia="zh-CN"/>
        </w:rPr>
        <w:t>16</w:t>
      </w:r>
      <w:r>
        <w:rPr>
          <w:rFonts w:hint="eastAsia" w:ascii="仿宋_GB2312" w:hAnsi="仿宋_GB2312" w:eastAsia="仿宋_GB2312" w:cs="仿宋_GB2312"/>
          <w:color w:val="000000"/>
          <w:kern w:val="0"/>
          <w:sz w:val="32"/>
          <w:szCs w:val="32"/>
          <w:shd w:val="clear" w:color="auto" w:fill="FFFFFF"/>
        </w:rPr>
        <w:t>人。</w:t>
      </w:r>
    </w:p>
    <w:p>
      <w:pPr>
        <w:spacing w:line="580" w:lineRule="exact"/>
        <w:ind w:firstLine="640" w:firstLineChars="200"/>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二、部门财政资金收支情况</w:t>
      </w:r>
    </w:p>
    <w:p>
      <w:pPr>
        <w:spacing w:line="580" w:lineRule="exact"/>
        <w:ind w:firstLine="642" w:firstLineChars="200"/>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（一）部门财政资金收入情况</w:t>
      </w:r>
      <w:r>
        <w:rPr>
          <w:rFonts w:hint="eastAsia" w:ascii="楷体_GB2312" w:hAnsi="楷体_GB2312" w:eastAsia="楷体_GB2312" w:cs="楷体_GB2312"/>
          <w:color w:val="000000"/>
          <w:kern w:val="0"/>
          <w:sz w:val="32"/>
          <w:szCs w:val="32"/>
          <w:shd w:val="clear" w:color="auto" w:fill="FFFFFF"/>
        </w:rPr>
        <w:t>。</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2020</w:t>
      </w:r>
      <w:r>
        <w:rPr>
          <w:rFonts w:hint="eastAsia" w:ascii="仿宋_GB2312" w:hAnsi="仿宋_GB2312" w:eastAsia="仿宋_GB2312" w:cs="仿宋_GB2312"/>
          <w:color w:val="000000"/>
          <w:kern w:val="0"/>
          <w:sz w:val="32"/>
          <w:szCs w:val="32"/>
          <w:shd w:val="clear" w:color="auto" w:fill="FFFFFF"/>
        </w:rPr>
        <w:t>年度一般公共预算财政拨款收入14589716.74元，其中年初结转和结余2191230元。本年支出总计14589716.74元，其中年末结转和结余</w:t>
      </w:r>
      <w:r>
        <w:rPr>
          <w:rFonts w:hint="eastAsia" w:ascii="仿宋_GB2312" w:hAnsi="仿宋_GB2312" w:eastAsia="仿宋_GB2312" w:cs="仿宋_GB2312"/>
          <w:color w:val="000000"/>
          <w:kern w:val="0"/>
          <w:sz w:val="32"/>
          <w:szCs w:val="32"/>
          <w:shd w:val="clear" w:color="auto" w:fill="FFFFFF"/>
          <w:lang w:val="en-US" w:eastAsia="zh-CN"/>
        </w:rPr>
        <w:t>3101540</w:t>
      </w:r>
      <w:r>
        <w:rPr>
          <w:rFonts w:hint="eastAsia" w:ascii="仿宋_GB2312" w:hAnsi="仿宋_GB2312" w:eastAsia="仿宋_GB2312" w:cs="仿宋_GB2312"/>
          <w:color w:val="000000"/>
          <w:kern w:val="0"/>
          <w:sz w:val="32"/>
          <w:szCs w:val="32"/>
          <w:shd w:val="clear" w:color="auto" w:fill="FFFFFF"/>
        </w:rPr>
        <w:t>元。基本支出数为7444788.97元，占61.29%；项目支出数为4043387.77元，占38.71%。基本支出中，人员经费支出6112659.48元，占83.60%；日常公用经费支出1332129.49万元，占16.40%。</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2020年度一般公共预算拨款收入12398486.74元，上年结转2191230元，事业收入0万元，其他收入0万元；支出包括：社会保障和就业支出716556.92元，卫生健康支出357169.49元，城乡社区支出9932104.33元，住房保障支出482346元。</w:t>
      </w:r>
    </w:p>
    <w:p>
      <w:pPr>
        <w:spacing w:line="580" w:lineRule="exact"/>
        <w:ind w:firstLine="642" w:firstLineChars="200"/>
        <w:rPr>
          <w:rFonts w:hint="eastAsia"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（二）部门财政资金支出情况。</w:t>
      </w:r>
    </w:p>
    <w:p>
      <w:pPr>
        <w:spacing w:line="580" w:lineRule="exact"/>
        <w:ind w:firstLine="640" w:firstLineChars="200"/>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lang w:val="en-US" w:eastAsia="zh-CN"/>
        </w:rPr>
        <w:t>2020</w:t>
      </w:r>
      <w:r>
        <w:rPr>
          <w:rFonts w:hint="eastAsia" w:ascii="仿宋_GB2312" w:hAnsi="仿宋_GB2312" w:eastAsia="仿宋_GB2312" w:cs="仿宋_GB2312"/>
          <w:color w:val="000000"/>
          <w:kern w:val="0"/>
          <w:sz w:val="32"/>
          <w:szCs w:val="32"/>
          <w:shd w:val="clear" w:color="auto" w:fill="FFFFFF"/>
        </w:rPr>
        <w:t>年单位负责实施项目支出情况为：各项业务培训费272660元；阿坝州公共厕所专项规划编制经费317600元；阿坝州国家级传统村落专项规划编制经费318000元；全州领导干部个人房产信息核查系统端口运行维护费176000元；公务用车购置税费52902.66元；阿坝州传统村落宣传推广工作经费41400元；深化“放管服”改革推进工作经费49856元；阿坝州工程建设项目审批管理平台建设经费177240</w:t>
      </w:r>
      <w:r>
        <w:rPr>
          <w:rFonts w:hint="eastAsia" w:ascii="仿宋_GB2312" w:hAnsi="仿宋_GB2312" w:eastAsia="仿宋_GB2312" w:cs="仿宋_GB2312"/>
          <w:color w:val="000000"/>
          <w:kern w:val="0"/>
          <w:sz w:val="32"/>
          <w:szCs w:val="32"/>
          <w:shd w:val="clear" w:color="auto" w:fill="FFFFFF"/>
          <w:lang w:val="en-US" w:eastAsia="zh-CN"/>
        </w:rPr>
        <w:t>0元</w:t>
      </w:r>
      <w:r>
        <w:rPr>
          <w:rFonts w:hint="eastAsia" w:ascii="仿宋_GB2312" w:hAnsi="仿宋_GB2312" w:eastAsia="仿宋_GB2312" w:cs="仿宋_GB2312"/>
          <w:color w:val="000000"/>
          <w:kern w:val="0"/>
          <w:sz w:val="32"/>
          <w:szCs w:val="32"/>
          <w:shd w:val="clear" w:color="auto" w:fill="FFFFFF"/>
          <w:lang w:eastAsia="zh-CN"/>
        </w:rPr>
        <w:t>；全州住建局视频会议云视讯设备功能费及专线运行维护费84000</w:t>
      </w:r>
      <w:r>
        <w:rPr>
          <w:rFonts w:hint="eastAsia" w:ascii="仿宋_GB2312" w:hAnsi="仿宋_GB2312" w:eastAsia="仿宋_GB2312" w:cs="仿宋_GB2312"/>
          <w:color w:val="000000"/>
          <w:kern w:val="0"/>
          <w:sz w:val="32"/>
          <w:szCs w:val="32"/>
          <w:shd w:val="clear" w:color="auto" w:fill="FFFFFF"/>
          <w:lang w:val="en-US" w:eastAsia="zh-CN"/>
        </w:rPr>
        <w:t>元；公务用车更新购置（缺口）资金347800元；州住建局大门维修改造48300元；阿坝州“十四五”住房和城乡建设事业发展规划177000元；办公设备购置60000元；公务用车大修78463元。</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2020</w:t>
      </w:r>
      <w:r>
        <w:rPr>
          <w:rFonts w:hint="eastAsia" w:ascii="仿宋_GB2312" w:hAnsi="仿宋_GB2312" w:eastAsia="仿宋_GB2312" w:cs="仿宋_GB2312"/>
          <w:color w:val="000000"/>
          <w:kern w:val="0"/>
          <w:sz w:val="32"/>
          <w:szCs w:val="32"/>
          <w:shd w:val="clear" w:color="auto" w:fill="FFFFFF"/>
        </w:rPr>
        <w:t>年末结转和结余项目资金</w:t>
      </w:r>
      <w:r>
        <w:rPr>
          <w:rFonts w:hint="eastAsia" w:ascii="仿宋_GB2312" w:hAnsi="仿宋_GB2312" w:eastAsia="仿宋_GB2312" w:cs="仿宋_GB2312"/>
          <w:color w:val="000000"/>
          <w:kern w:val="0"/>
          <w:sz w:val="32"/>
          <w:szCs w:val="32"/>
          <w:shd w:val="clear" w:color="auto" w:fill="FFFFFF"/>
          <w:lang w:val="en-US" w:eastAsia="zh-CN"/>
        </w:rPr>
        <w:t>3101540</w:t>
      </w:r>
      <w:r>
        <w:rPr>
          <w:rFonts w:hint="eastAsia" w:ascii="仿宋_GB2312" w:hAnsi="仿宋_GB2312" w:eastAsia="仿宋_GB2312" w:cs="仿宋_GB2312"/>
          <w:color w:val="000000"/>
          <w:kern w:val="0"/>
          <w:sz w:val="32"/>
          <w:szCs w:val="32"/>
          <w:shd w:val="clear" w:color="auto" w:fill="FFFFFF"/>
        </w:rPr>
        <w:t>元，分别是：阿坝州“十四五”住房和城乡建设事业发展规划经费413000元；阿坝州城乡环境综合治理工作经费</w:t>
      </w:r>
      <w:r>
        <w:rPr>
          <w:rFonts w:hint="eastAsia" w:ascii="仿宋_GB2312" w:hAnsi="仿宋_GB2312" w:eastAsia="仿宋_GB2312" w:cs="仿宋_GB2312"/>
          <w:color w:val="000000"/>
          <w:kern w:val="0"/>
          <w:sz w:val="32"/>
          <w:szCs w:val="32"/>
          <w:shd w:val="clear" w:color="auto" w:fill="FFFFFF"/>
          <w:lang w:val="en-US" w:eastAsia="zh-CN"/>
        </w:rPr>
        <w:t>98000</w:t>
      </w:r>
      <w:r>
        <w:rPr>
          <w:rFonts w:hint="eastAsia" w:ascii="仿宋_GB2312" w:hAnsi="仿宋_GB2312" w:eastAsia="仿宋_GB2312" w:cs="仿宋_GB2312"/>
          <w:color w:val="000000"/>
          <w:kern w:val="0"/>
          <w:sz w:val="32"/>
          <w:szCs w:val="32"/>
          <w:shd w:val="clear" w:color="auto" w:fill="FFFFFF"/>
        </w:rPr>
        <w:t>元；阿坝州工程项目审批管理平台建设经费2363200元；各项业务培训费227340元。</w:t>
      </w:r>
    </w:p>
    <w:p>
      <w:pPr>
        <w:spacing w:line="580" w:lineRule="exact"/>
        <w:ind w:firstLine="640" w:firstLineChars="200"/>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三、部门财政支出管理情况</w:t>
      </w:r>
    </w:p>
    <w:p>
      <w:pPr>
        <w:spacing w:line="580" w:lineRule="exact"/>
        <w:ind w:firstLine="642" w:firstLineChars="200"/>
        <w:rPr>
          <w:rFonts w:hint="eastAsia"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（一）预算编制情况。</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部门预算编制工作与部门年度工作安排紧密相关，与各业务科室紧密相连。我局领导高度重视部门预算编制工作，结合单位的中心工作、近几年来的工作开展情况、上级领导及其主管部门对下一年度的工作思路，通过准确填报部门基础信息、合理测算项目支出、提高采购编制的完整性等途径，不断提高预算编制精细化水平，不断完善项目绩效评价体系。</w:t>
      </w:r>
    </w:p>
    <w:p>
      <w:pPr>
        <w:spacing w:line="580" w:lineRule="exact"/>
        <w:ind w:firstLine="642" w:firstLineChars="200"/>
        <w:rPr>
          <w:rFonts w:hint="eastAsia" w:ascii="仿宋_GB2312" w:hAnsi="仿宋_GB2312" w:eastAsia="仿宋_GB2312" w:cs="仿宋_GB2312"/>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（二）执行管理情况。</w:t>
      </w:r>
      <w:r>
        <w:rPr>
          <w:rFonts w:hint="eastAsia" w:ascii="仿宋_GB2312" w:hAnsi="仿宋_GB2312" w:eastAsia="仿宋_GB2312" w:cs="仿宋_GB2312"/>
          <w:color w:val="000000"/>
          <w:kern w:val="0"/>
          <w:sz w:val="32"/>
          <w:szCs w:val="32"/>
          <w:shd w:val="clear" w:color="auto" w:fill="FFFFFF"/>
        </w:rPr>
        <w:tab/>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在执行管理方面，我局能认真贯彻执行《会计法》、《会计基础工作规范》、《行政单位会计制度》等各类财务会计制度，设立了专职的会计、出纳岗位，严格执行会计人员从业资格准入制度，配备了具有会计从业资格的人员从事财务工作，制定了我局相关的财务管理制度，明确了会计、出纳岗位职责，严格执行会计制度，按规定进行会计账簿和科目的设置，按规定设立银行账户，不断健全财务审批制度，实行单位主管财务领导、分管领导审批制度，按规定进行报账记账，坚决杜绝账外账、多头开户、违规开户和违规使用资金的现象，不断加强财务管理，建立完善会计档案，不断规范了单位财务工作，保证了各类资金的合理有效使用。</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建立健全财务会计管理制度，财务会计安排专人负责，做好资金预算编制和有效的使用资金，监督资金的正常运行，维护资金的安全。做好会计核算工作，建立会计核算档案，包括会计凭证、会计账薄、会计报表和其他会计资料。经自查，会计资料真实完整，核算合规。</w:t>
      </w:r>
    </w:p>
    <w:p>
      <w:pPr>
        <w:spacing w:line="580" w:lineRule="exact"/>
        <w:ind w:firstLine="642" w:firstLineChars="200"/>
        <w:rPr>
          <w:rFonts w:hint="eastAsia"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（三）综合管理情况。</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根据我局工作实际，在建立并实施内部监督和控制制度过程中，建立了《进一步规范财务报账加强财务管理制度》等相关内部管理制度。严格执行政府采购制度及我局财务内控制度，重大事项须通过全体班子会议，再向财政部门申请同意后，方可采购。</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xml:space="preserve">建立和完善各项制度的同时，相关人员在工作过程中严格遵守规章制度，有效地实施了内部监督和控制，保证了会计工作的真实性、完整性以及单位财产的安全，加强了对各项资产的监督和管理，杜绝了各种漏洞的发生，达到了以下三点要求：  </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xml:space="preserve">1.明确了记账人员与审批人员、经办人员的职责权限，使其相互分离、相互制约，以明确责任，防止舞弊，各项会计事项得以有序进行。  </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xml:space="preserve">2.明确了财务收支审批程序和审批人的职责和权限，规范了各项资金的使用，提高了资金使用效益。  </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3.明确了经费支出的开支范围和标准，采取各种有效措施控制经费开支，杜绝了浪费现象的发生。</w:t>
      </w:r>
    </w:p>
    <w:p>
      <w:pPr>
        <w:spacing w:line="580" w:lineRule="exact"/>
        <w:ind w:firstLine="642" w:firstLineChars="200"/>
        <w:rPr>
          <w:rFonts w:hint="eastAsia"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（四）整体绩效。</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2020</w:t>
      </w:r>
      <w:r>
        <w:rPr>
          <w:rFonts w:hint="eastAsia" w:ascii="仿宋_GB2312" w:hAnsi="仿宋_GB2312" w:eastAsia="仿宋_GB2312" w:cs="仿宋_GB2312"/>
          <w:color w:val="000000"/>
          <w:kern w:val="0"/>
          <w:sz w:val="32"/>
          <w:szCs w:val="32"/>
          <w:shd w:val="clear" w:color="auto" w:fill="FFFFFF"/>
        </w:rPr>
        <w:t>年，单位较好的完成了年初制定的重点工作任务，有序推进脱贫攻坚住房保障工作，持续推进全州住房和城乡建设事业</w:t>
      </w:r>
      <w:r>
        <w:rPr>
          <w:rFonts w:hint="eastAsia" w:ascii="仿宋_GB2312" w:hAnsi="仿宋_GB2312" w:eastAsia="仿宋_GB2312" w:cs="仿宋_GB2312"/>
          <w:color w:val="000000"/>
          <w:kern w:val="0"/>
          <w:sz w:val="32"/>
          <w:szCs w:val="32"/>
          <w:shd w:val="clear" w:color="auto" w:fill="FFFFFF"/>
          <w:lang w:val="en-US" w:eastAsia="zh-CN"/>
        </w:rPr>
        <w:t>健康</w:t>
      </w:r>
      <w:r>
        <w:rPr>
          <w:rFonts w:hint="eastAsia" w:ascii="仿宋_GB2312" w:hAnsi="仿宋_GB2312" w:eastAsia="仿宋_GB2312" w:cs="仿宋_GB2312"/>
          <w:color w:val="000000"/>
          <w:kern w:val="0"/>
          <w:sz w:val="32"/>
          <w:szCs w:val="32"/>
          <w:shd w:val="clear" w:color="auto" w:fill="FFFFFF"/>
        </w:rPr>
        <w:t>发展。</w:t>
      </w:r>
    </w:p>
    <w:p>
      <w:pPr>
        <w:spacing w:line="580" w:lineRule="exact"/>
        <w:ind w:firstLine="640" w:firstLineChars="200"/>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四、评价结论及建议</w:t>
      </w:r>
    </w:p>
    <w:p>
      <w:pPr>
        <w:spacing w:line="580" w:lineRule="exact"/>
        <w:ind w:firstLine="642" w:firstLineChars="200"/>
        <w:rPr>
          <w:rFonts w:hint="eastAsia"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（一）评价结论。</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2020</w:t>
      </w:r>
      <w:r>
        <w:rPr>
          <w:rFonts w:hint="eastAsia" w:ascii="仿宋_GB2312" w:hAnsi="仿宋_GB2312" w:eastAsia="仿宋_GB2312" w:cs="仿宋_GB2312"/>
          <w:color w:val="000000"/>
          <w:kern w:val="0"/>
          <w:sz w:val="32"/>
          <w:szCs w:val="32"/>
          <w:shd w:val="clear" w:color="auto" w:fill="FFFFFF"/>
        </w:rPr>
        <w:t>年度，单位较好的完成了年初预算绩效目标任务，</w:t>
      </w:r>
      <w:r>
        <w:rPr>
          <w:rFonts w:hint="eastAsia" w:ascii="仿宋_GB2312" w:hAnsi="仿宋_GB2312" w:eastAsia="仿宋_GB2312" w:cs="仿宋_GB2312"/>
          <w:color w:val="000000"/>
          <w:kern w:val="0"/>
          <w:sz w:val="32"/>
          <w:szCs w:val="32"/>
          <w:shd w:val="clear" w:color="auto" w:fill="FFFFFF"/>
          <w:lang w:val="en-US" w:eastAsia="zh-CN"/>
        </w:rPr>
        <w:t>预算执行效率效益较高。</w:t>
      </w:r>
    </w:p>
    <w:p>
      <w:pPr>
        <w:spacing w:line="580" w:lineRule="exact"/>
        <w:ind w:firstLine="642" w:firstLineChars="200"/>
        <w:rPr>
          <w:rFonts w:hint="eastAsia"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（二）存在问题。</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rPr>
        <w:t>单位部分项目推进较缓慢</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表现为项目资金支付进度较慢</w:t>
      </w:r>
      <w:r>
        <w:rPr>
          <w:rFonts w:hint="eastAsia" w:ascii="仿宋_GB2312" w:hAnsi="仿宋_GB2312" w:eastAsia="仿宋_GB2312" w:cs="仿宋_GB2312"/>
          <w:color w:val="000000"/>
          <w:kern w:val="0"/>
          <w:sz w:val="32"/>
          <w:szCs w:val="32"/>
          <w:shd w:val="clear" w:color="auto" w:fill="FFFFFF"/>
          <w:lang w:eastAsia="zh-CN"/>
        </w:rPr>
        <w:t>。</w:t>
      </w:r>
    </w:p>
    <w:p>
      <w:pPr>
        <w:spacing w:line="580" w:lineRule="exact"/>
        <w:ind w:firstLine="642" w:firstLineChars="200"/>
        <w:rPr>
          <w:rFonts w:hint="eastAsia"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w:t>
      </w:r>
      <w:r>
        <w:rPr>
          <w:rFonts w:hint="eastAsia" w:ascii="楷体_GB2312" w:hAnsi="楷体_GB2312" w:eastAsia="楷体_GB2312" w:cs="楷体_GB2312"/>
          <w:b/>
          <w:bCs/>
          <w:color w:val="000000"/>
          <w:kern w:val="0"/>
          <w:sz w:val="32"/>
          <w:szCs w:val="32"/>
          <w:shd w:val="clear" w:color="auto" w:fill="FFFFFF"/>
          <w:lang w:val="en-US" w:eastAsia="zh-CN"/>
        </w:rPr>
        <w:t>三</w:t>
      </w:r>
      <w:r>
        <w:rPr>
          <w:rFonts w:hint="eastAsia" w:ascii="楷体_GB2312" w:hAnsi="楷体_GB2312" w:eastAsia="楷体_GB2312" w:cs="楷体_GB2312"/>
          <w:b/>
          <w:bCs/>
          <w:color w:val="000000"/>
          <w:kern w:val="0"/>
          <w:sz w:val="32"/>
          <w:szCs w:val="32"/>
          <w:shd w:val="clear" w:color="auto" w:fill="FFFFFF"/>
        </w:rPr>
        <w:t>）改进建议。</w:t>
      </w:r>
    </w:p>
    <w:p>
      <w:pPr>
        <w:spacing w:line="580" w:lineRule="exact"/>
        <w:ind w:firstLine="642" w:firstLineChars="200"/>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1.建立健全部门内部控制制度</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为严格预算执行，防范财务风险，确保财政资金使用安全，防止铺张浪费，必须建立健全内部控制制度。首先是要完善建章立制，内部控制不是局限作用于财务管理层面，而是要建成一套环环相扣的动态监督机制，在全局业务运作过程中发挥作用。其次是要提高内部控制意识，认识到内部控制的重要性，让单位所有职工都参与到内部控制的执行中，营造出内部控制的氛围。再次要充分发挥内部审计在内部控制中的作用，重视事前审计，提早纠正违规行为，以免造成重大损失。</w:t>
      </w:r>
    </w:p>
    <w:p>
      <w:pPr>
        <w:spacing w:line="580" w:lineRule="exact"/>
        <w:ind w:firstLine="642" w:firstLineChars="200"/>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2.严格执行公用经费支出审批制度</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公用经费是保障部门预算单位机构正常运转和履行行政职能的物</w:t>
      </w:r>
      <w:r>
        <w:rPr>
          <w:rFonts w:hint="eastAsia" w:ascii="仿宋_GB2312" w:hAnsi="仿宋_GB2312" w:eastAsia="仿宋_GB2312" w:cs="仿宋_GB2312"/>
          <w:color w:val="000000"/>
          <w:kern w:val="0"/>
          <w:sz w:val="32"/>
          <w:szCs w:val="32"/>
          <w:shd w:val="clear" w:color="auto" w:fill="FFFFFF"/>
          <w:lang w:eastAsia="zh-CN"/>
        </w:rPr>
        <w:t>质</w:t>
      </w:r>
      <w:r>
        <w:rPr>
          <w:rFonts w:hint="eastAsia" w:ascii="仿宋_GB2312" w:hAnsi="仿宋_GB2312" w:eastAsia="仿宋_GB2312" w:cs="仿宋_GB2312"/>
          <w:color w:val="000000"/>
          <w:kern w:val="0"/>
          <w:sz w:val="32"/>
          <w:szCs w:val="32"/>
          <w:shd w:val="clear" w:color="auto" w:fill="FFFFFF"/>
        </w:rPr>
        <w:t>基础，是部门预算的核心部分。建立完善的公用经费支出审批制度，能够从源头上节约部门的运行成本，提高财政资金的使用效益。在下一步工作中，本单位将严格执行公共经费支出审批制度。目前，我单位已于2020年3月起更新单位报账填报单据，使各项要素更加清晰明了。健全制度抓规范，确保内部控制覆盖经济和业务活动的全范围，贯穿内部权力运行的决策、执行和监督全过程，形成良好的长效机制。加强财务管理，把好财政资金使用关口，对财政支出风险进行规范和管控，预防和杜绝违法、违纪、违规行为的发生。</w:t>
      </w:r>
    </w:p>
    <w:p>
      <w:pPr>
        <w:spacing w:line="580" w:lineRule="exact"/>
        <w:ind w:firstLine="640" w:firstLineChars="200"/>
        <w:jc w:val="both"/>
        <w:rPr>
          <w:rFonts w:hint="eastAsia" w:ascii="黑体" w:hAnsi="黑体" w:eastAsia="黑体" w:cs="黑体"/>
          <w:sz w:val="32"/>
          <w:szCs w:val="32"/>
          <w:lang w:val="en-US" w:eastAsia="zh-CN"/>
        </w:rPr>
      </w:pPr>
    </w:p>
    <w:p>
      <w:pPr>
        <w:spacing w:line="580" w:lineRule="exact"/>
        <w:ind w:firstLine="640" w:firstLineChars="200"/>
        <w:jc w:val="both"/>
        <w:rPr>
          <w:rFonts w:hint="eastAsia" w:ascii="黑体" w:hAnsi="黑体" w:eastAsia="黑体" w:cs="黑体"/>
          <w:sz w:val="32"/>
          <w:szCs w:val="32"/>
          <w:lang w:val="en-US" w:eastAsia="zh-CN"/>
        </w:rPr>
      </w:pPr>
    </w:p>
    <w:p>
      <w:pPr>
        <w:spacing w:line="580" w:lineRule="exact"/>
        <w:ind w:firstLine="640" w:firstLineChars="200"/>
        <w:jc w:val="both"/>
        <w:rPr>
          <w:rFonts w:hint="eastAsia" w:ascii="黑体" w:hAnsi="黑体" w:eastAsia="黑体" w:cs="黑体"/>
          <w:sz w:val="32"/>
          <w:szCs w:val="32"/>
          <w:lang w:val="en-US" w:eastAsia="zh-CN"/>
        </w:rPr>
      </w:pPr>
    </w:p>
    <w:p>
      <w:pPr>
        <w:spacing w:line="580" w:lineRule="exact"/>
        <w:ind w:firstLine="640" w:firstLineChars="200"/>
        <w:jc w:val="both"/>
        <w:rPr>
          <w:rFonts w:hint="eastAsia" w:ascii="黑体" w:hAnsi="黑体" w:eastAsia="黑体" w:cs="黑体"/>
          <w:sz w:val="32"/>
          <w:szCs w:val="32"/>
          <w:lang w:val="en-US" w:eastAsia="zh-CN"/>
        </w:rPr>
      </w:pPr>
    </w:p>
    <w:p>
      <w:pPr>
        <w:spacing w:line="580" w:lineRule="exact"/>
        <w:ind w:firstLine="640" w:firstLineChars="200"/>
        <w:jc w:val="both"/>
        <w:rPr>
          <w:rFonts w:hint="eastAsia" w:ascii="黑体" w:hAnsi="黑体" w:eastAsia="黑体" w:cs="黑体"/>
          <w:sz w:val="32"/>
          <w:szCs w:val="32"/>
          <w:lang w:val="en-US" w:eastAsia="zh-CN"/>
        </w:rPr>
      </w:pPr>
    </w:p>
    <w:p>
      <w:pPr>
        <w:spacing w:line="580" w:lineRule="exact"/>
        <w:ind w:firstLine="640" w:firstLineChars="200"/>
        <w:jc w:val="both"/>
        <w:rPr>
          <w:rFonts w:hint="eastAsia" w:ascii="黑体" w:hAnsi="黑体" w:eastAsia="黑体" w:cs="黑体"/>
          <w:sz w:val="32"/>
          <w:szCs w:val="32"/>
          <w:lang w:val="en-US" w:eastAsia="zh-CN"/>
        </w:rPr>
      </w:pPr>
    </w:p>
    <w:p>
      <w:pPr>
        <w:spacing w:line="580" w:lineRule="exact"/>
        <w:ind w:firstLine="640" w:firstLineChars="200"/>
        <w:jc w:val="both"/>
        <w:rPr>
          <w:rFonts w:hint="eastAsia" w:ascii="黑体" w:hAnsi="黑体" w:eastAsia="黑体" w:cs="黑体"/>
          <w:sz w:val="32"/>
          <w:szCs w:val="32"/>
          <w:lang w:val="en-US" w:eastAsia="zh-CN"/>
        </w:rPr>
      </w:pPr>
    </w:p>
    <w:p>
      <w:pPr>
        <w:spacing w:line="580" w:lineRule="exact"/>
        <w:ind w:firstLine="640" w:firstLineChars="200"/>
        <w:jc w:val="both"/>
        <w:rPr>
          <w:rFonts w:hint="eastAsia" w:ascii="黑体" w:hAnsi="黑体" w:eastAsia="黑体" w:cs="黑体"/>
          <w:sz w:val="32"/>
          <w:szCs w:val="32"/>
          <w:lang w:val="en-US" w:eastAsia="zh-CN"/>
        </w:rPr>
      </w:pPr>
    </w:p>
    <w:p>
      <w:pPr>
        <w:spacing w:line="580" w:lineRule="exact"/>
        <w:ind w:firstLine="640" w:firstLineChars="200"/>
        <w:jc w:val="both"/>
        <w:rPr>
          <w:rFonts w:hint="eastAsia" w:ascii="黑体" w:hAnsi="黑体" w:eastAsia="黑体" w:cs="黑体"/>
          <w:sz w:val="32"/>
          <w:szCs w:val="32"/>
          <w:lang w:val="en-US" w:eastAsia="zh-CN"/>
        </w:rPr>
      </w:pPr>
    </w:p>
    <w:p>
      <w:pPr>
        <w:spacing w:line="580" w:lineRule="exact"/>
        <w:ind w:firstLine="640" w:firstLineChars="200"/>
        <w:jc w:val="both"/>
        <w:rPr>
          <w:rFonts w:hint="eastAsia" w:ascii="黑体" w:hAnsi="黑体" w:eastAsia="黑体" w:cs="黑体"/>
          <w:sz w:val="32"/>
          <w:szCs w:val="32"/>
          <w:lang w:val="en-US" w:eastAsia="zh-CN"/>
        </w:rPr>
      </w:pPr>
    </w:p>
    <w:p>
      <w:pPr>
        <w:spacing w:line="580" w:lineRule="exact"/>
        <w:ind w:firstLine="640" w:firstLineChars="200"/>
        <w:jc w:val="both"/>
        <w:rPr>
          <w:rFonts w:hint="eastAsia" w:ascii="黑体" w:hAnsi="黑体" w:eastAsia="黑体" w:cs="黑体"/>
          <w:sz w:val="32"/>
          <w:szCs w:val="32"/>
          <w:lang w:val="en-US" w:eastAsia="zh-CN"/>
        </w:rPr>
      </w:pPr>
    </w:p>
    <w:p>
      <w:pPr>
        <w:spacing w:line="580" w:lineRule="exact"/>
        <w:ind w:firstLine="640" w:firstLineChars="200"/>
        <w:jc w:val="both"/>
        <w:rPr>
          <w:rFonts w:hint="eastAsia" w:ascii="黑体" w:hAnsi="黑体" w:eastAsia="黑体" w:cs="黑体"/>
          <w:sz w:val="32"/>
          <w:szCs w:val="32"/>
          <w:lang w:val="en-US" w:eastAsia="zh-CN"/>
        </w:rPr>
      </w:pPr>
    </w:p>
    <w:p>
      <w:pPr>
        <w:spacing w:line="58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80" w:lineRule="exact"/>
        <w:ind w:firstLine="640" w:firstLineChars="200"/>
        <w:rPr>
          <w:rFonts w:hint="eastAsia" w:ascii="仿宋_GB2312" w:hAnsi="仿宋_GB2312" w:eastAsia="仿宋_GB2312" w:cs="仿宋_GB2312"/>
          <w:sz w:val="32"/>
          <w:szCs w:val="32"/>
        </w:rPr>
      </w:pPr>
    </w:p>
    <w:p>
      <w:pPr>
        <w:pStyle w:val="31"/>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kern w:val="2"/>
          <w:sz w:val="44"/>
          <w:szCs w:val="44"/>
          <w:lang w:val="en-US" w:eastAsia="zh-CN"/>
        </w:rPr>
      </w:pPr>
      <w:r>
        <w:rPr>
          <w:rFonts w:hint="eastAsia" w:ascii="方正小标宋_GBK" w:hAnsi="方正小标宋_GBK" w:eastAsia="方正小标宋_GBK" w:cs="方正小标宋_GBK"/>
          <w:sz w:val="44"/>
          <w:szCs w:val="44"/>
        </w:rPr>
        <w:t>项目支出绩效自评报告</w:t>
      </w:r>
      <w:r>
        <w:rPr>
          <w:rFonts w:hint="eastAsia" w:ascii="方正小标宋_GBK" w:hAnsi="方正小标宋_GBK" w:eastAsia="方正小标宋_GBK" w:cs="方正小标宋_GBK"/>
          <w:sz w:val="44"/>
          <w:szCs w:val="44"/>
          <w:lang w:val="en-US" w:eastAsia="zh-CN"/>
        </w:rPr>
        <w:t>一</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（阿坝州传统村落保护利用规划编制采购项目）</w:t>
      </w:r>
    </w:p>
    <w:p>
      <w:pPr>
        <w:pStyle w:val="31"/>
        <w:keepNext w:val="0"/>
        <w:keepLines w:val="0"/>
        <w:pageBreakBefore w:val="0"/>
        <w:widowControl w:val="0"/>
        <w:kinsoku/>
        <w:wordWrap/>
        <w:overflowPunct/>
        <w:topLinePunct w:val="0"/>
        <w:autoSpaceDE/>
        <w:autoSpaceDN/>
        <w:bidi w:val="0"/>
        <w:spacing w:line="560" w:lineRule="exact"/>
        <w:ind w:firstLine="640"/>
        <w:jc w:val="center"/>
        <w:textAlignment w:val="auto"/>
        <w:rPr>
          <w:rFonts w:hint="eastAsia" w:ascii="仿宋_GB2312" w:hAnsi="仿宋_GB2312" w:eastAsia="仿宋_GB2312" w:cs="仿宋_GB2312"/>
          <w:color w:val="auto"/>
          <w:kern w:val="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阿坝州传统村落保护利用规划编制采购项目，采购项目编号：5132202019000645， 采购人为阿坝州住房和城乡建设局，采购代理机构为四川智诚工程造价咨询有限责任公司，中标单位为北京清华同衡规划设计研究院有限公司，成交金额79.5万元。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二、资金情况</w:t>
      </w:r>
    </w:p>
    <w:p>
      <w:pPr>
        <w:keepNext w:val="0"/>
        <w:keepLines w:val="0"/>
        <w:pageBreakBefore w:val="0"/>
        <w:widowControl w:val="0"/>
        <w:kinsoku/>
        <w:wordWrap/>
        <w:overflowPunct/>
        <w:topLinePunct w:val="0"/>
        <w:autoSpaceDE/>
        <w:autoSpaceDN/>
        <w:bidi w:val="0"/>
        <w:spacing w:line="560" w:lineRule="exact"/>
        <w:ind w:firstLine="629" w:firstLineChars="196"/>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（一）项目资金申报及批复情况。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阿坝州传统村落保护利用规划编制采购项目</w:t>
      </w:r>
      <w:r>
        <w:rPr>
          <w:rFonts w:hint="eastAsia" w:ascii="仿宋_GB2312" w:hAnsi="仿宋_GB2312" w:eastAsia="仿宋_GB2312" w:cs="仿宋_GB2312"/>
          <w:sz w:val="32"/>
          <w:szCs w:val="32"/>
          <w:lang w:val="en-US" w:eastAsia="zh-CN"/>
        </w:rPr>
        <w:t>经费为</w:t>
      </w:r>
      <w:r>
        <w:rPr>
          <w:rFonts w:hint="eastAsia" w:ascii="仿宋_GB2312" w:hAnsi="仿宋_GB2312" w:eastAsia="仿宋_GB2312" w:cs="仿宋_GB2312"/>
          <w:sz w:val="32"/>
          <w:szCs w:val="32"/>
        </w:rPr>
        <w:t>州本级财政预算资金80万元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通过2019年年初预算下达。</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（二）项目绩效目标。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该项目为阿坝州传统村落保护利用规划编制服务项目，主要依据《住房城乡建设部关于印发传统村落保护发展规划编制基本要求（试行）的通知》（建村[2013]130号），为阿坝州传统村落的保护与发展提供专项规划技术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划成果内容：按照住建部颁布的《城市规划编制办法》（2006）及其他规范、标准、规程中对传统村落保护利用规划的技术标准和深度要求进行编制，技术成果分为四大部分：规划文本、规划说明、规划图纸和档案台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3.该项目总工期为6个月，承担方自合同签订之日起6个月内提交最终成果并经委托方审查验收通过。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①第一阶段：合同签订，合同正式签订并按照合同约定支付第一次费用。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第二阶段：自合同签订之日起3个月内，承包方完成初步规划成果1份，并提交委托方进行初审，委托方组织相关单位、专家等进行审查提出修改意见后，承担方应在30日内按照修改意见进行修改完善，并将修改后的成果提交委托方，经委托方书面确认后方可进入下一阶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第三阶段：由双方将按照初审意见修改后的成果提交法定规划审查机构进行审查验收，由承担方按照审查验收意见进行完善，取得相关规划审批机关批复后，于15日内向委托方提交全部修改后的最终成果，委托方确认无误后7日内出具规划成果接收函。</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（三）项目资金申报相符性。</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结合全州传统村落实际，该项目申报内容与具体实施内容一致，申报目标合理可行。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val="zh-CN"/>
        </w:rPr>
        <w:tab/>
      </w:r>
      <w:r>
        <w:rPr>
          <w:rFonts w:hint="eastAsia" w:ascii="仿宋_GB2312" w:hAnsi="仿宋_GB2312" w:eastAsia="仿宋_GB2312" w:cs="仿宋_GB2312"/>
          <w:b/>
          <w:sz w:val="32"/>
          <w:szCs w:val="32"/>
          <w:lang w:val="zh-CN"/>
        </w:rPr>
        <w:t>（一）资金计划、到位及使用情况。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州本级财政预算资金80万元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通过2019年年初预算下达。</w:t>
      </w:r>
      <w:r>
        <w:rPr>
          <w:rFonts w:hint="eastAsia" w:ascii="仿宋_GB2312" w:hAnsi="仿宋_GB2312" w:eastAsia="仿宋_GB2312" w:cs="仿宋_GB2312"/>
          <w:sz w:val="32"/>
          <w:szCs w:val="32"/>
        </w:rPr>
        <w:t>目前该项目按照合同约定，已于2019年12月20日第一次支付 238,500.00 元整，占该项目总设计费的30％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2020年12月22日，完成第二次支付318000元，</w:t>
      </w:r>
      <w:r>
        <w:rPr>
          <w:rFonts w:hint="eastAsia" w:ascii="仿宋_GB2312" w:hAnsi="仿宋_GB2312" w:eastAsia="仿宋_GB2312" w:cs="仿宋_GB2312"/>
          <w:sz w:val="32"/>
          <w:szCs w:val="32"/>
        </w:rPr>
        <w:t>占该项目总设计费的</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.截至</w:t>
      </w:r>
      <w:bookmarkStart w:id="109" w:name="_GoBack"/>
      <w:bookmarkEnd w:id="109"/>
      <w:r>
        <w:rPr>
          <w:rFonts w:hint="eastAsia" w:ascii="仿宋_GB2312" w:hAnsi="仿宋_GB2312" w:eastAsia="仿宋_GB2312" w:cs="仿宋_GB2312"/>
          <w:sz w:val="32"/>
          <w:szCs w:val="32"/>
          <w:lang w:val="en-US" w:eastAsia="zh-CN"/>
        </w:rPr>
        <w:t>目前，项目支付进度达70%。</w:t>
      </w:r>
      <w:r>
        <w:rPr>
          <w:rFonts w:hint="eastAsia" w:ascii="仿宋_GB2312" w:hAnsi="仿宋_GB2312" w:eastAsia="仿宋_GB2312" w:cs="仿宋_GB2312"/>
          <w:sz w:val="32"/>
          <w:szCs w:val="32"/>
          <w:lang w:val="zh-CN"/>
        </w:rPr>
        <w:t>支付依据合规合法，资金支付与预算一致。</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阿坝州传统村落保护利用规划编制采购项目</w:t>
      </w:r>
      <w:r>
        <w:rPr>
          <w:rFonts w:hint="eastAsia" w:ascii="仿宋_GB2312" w:hAnsi="仿宋_GB2312" w:eastAsia="仿宋_GB2312" w:cs="仿宋_GB2312"/>
          <w:sz w:val="32"/>
          <w:szCs w:val="32"/>
          <w:lang w:val="en-US" w:eastAsia="zh-CN"/>
        </w:rPr>
        <w:t>经费是财政下达的项目资金，我局严格按照州财政局项目资金管理办法通过财政直接支付方式进行管理，资金支付进度和方式严格按照合同进行，</w:t>
      </w:r>
      <w:r>
        <w:rPr>
          <w:rFonts w:hint="eastAsia" w:ascii="仿宋_GB2312" w:hAnsi="仿宋_GB2312" w:eastAsia="仿宋_GB2312" w:cs="仿宋_GB2312"/>
          <w:sz w:val="32"/>
          <w:szCs w:val="32"/>
          <w:lang w:val="zh-CN"/>
        </w:rPr>
        <w:t>严格</w:t>
      </w:r>
      <w:r>
        <w:rPr>
          <w:rFonts w:hint="eastAsia" w:ascii="仿宋_GB2312" w:hAnsi="仿宋_GB2312" w:eastAsia="仿宋_GB2312" w:cs="仿宋_GB2312"/>
          <w:sz w:val="32"/>
          <w:szCs w:val="32"/>
          <w:lang w:val="en-US" w:eastAsia="zh-CN"/>
        </w:rPr>
        <w:t>遵守各项财务管理制度，</w:t>
      </w:r>
      <w:r>
        <w:rPr>
          <w:rFonts w:hint="eastAsia" w:ascii="仿宋_GB2312" w:hAnsi="仿宋_GB2312" w:eastAsia="仿宋_GB2312" w:cs="仿宋_GB2312"/>
          <w:sz w:val="32"/>
          <w:szCs w:val="32"/>
          <w:lang w:val="zh-CN"/>
        </w:rPr>
        <w:t>及时进行了财务处理、会计核算规范。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（三）项目组织实施情况。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该项目由州住房和城乡建设局村镇科主要负责，村镇科前期积极对接了</w:t>
      </w:r>
      <w:r>
        <w:rPr>
          <w:rFonts w:hint="eastAsia" w:ascii="仿宋_GB2312" w:hAnsi="仿宋_GB2312" w:eastAsia="仿宋_GB2312" w:cs="仿宋_GB2312"/>
          <w:sz w:val="32"/>
          <w:szCs w:val="32"/>
        </w:rPr>
        <w:t>州财政局采管科等，该</w:t>
      </w:r>
      <w:r>
        <w:rPr>
          <w:rFonts w:hint="eastAsia" w:ascii="仿宋_GB2312" w:hAnsi="仿宋_GB2312" w:eastAsia="仿宋_GB2312" w:cs="仿宋_GB2312"/>
          <w:sz w:val="32"/>
          <w:szCs w:val="32"/>
          <w:lang w:val="zh-CN"/>
        </w:rPr>
        <w:t>项目采购所有流程（采购方式变更、招标代理机构选取、招标文件发布、各类公示公告、合同签订等）均按照相关规定执行。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en-US" w:eastAsia="zh-CN"/>
        </w:rPr>
        <w:t>四</w:t>
      </w:r>
      <w:r>
        <w:rPr>
          <w:rFonts w:hint="eastAsia" w:ascii="黑体" w:hAnsi="黑体" w:eastAsia="黑体" w:cs="黑体"/>
          <w:sz w:val="32"/>
          <w:szCs w:val="32"/>
        </w:rPr>
        <w:t>、项目绩效情况</w:t>
      </w:r>
      <w:r>
        <w:rPr>
          <w:rFonts w:hint="eastAsia" w:ascii="黑体" w:hAnsi="黑体" w:eastAsia="黑体" w:cs="黑体"/>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（一）项目完成情况。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目前委托方正在对项目初步规划成果进行完善，待完善后提交委托方进行初审，委托方组织相关单位、专家等进行审查提出修改意见后，承担方按照修改意见进行修改完善，并将修改后的成果提交委托方，经委托方书面确认后可进入下一阶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（二）项目效益情况。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该项目为阿坝州传统村落规划编制服务项目，主要依据《住房城乡建设部关于印发传统村落保护发展规划编制基本要求（试行）的通知》（建村[2013]130号），为阿坝州传统村落的保护与发展提供专项规划技术支持。包括但不限于对阿坝州传统村落选址与自然景观环境特征、村落传统格局和整体风貌特征、传统建筑特征、历史环境要素特征、非物质文化遗产特征进行分析，通过与较大区域范围（地理区域、文化区域、民族区域）以及邻近区域内其他村落的比较，综合分析传统村落的特点，评估其历史、艺术、科学、社会等价值，对各种不利于传统资源保护的因素进行分析，并评估这些因素威胁传统村落的程度；根据传统村落的发展环境、保护与发展条件的优劣势，提出村落发展定位及发展途径的建议；提出阿坝州传统村落保护利用存在的主要问题及矛盾；针对阿坝州传统村落实际情况，提出总体保护原则和具体措施；提出建立传统村落保护和发展长效机制的具体建议措施；提出文化保护和传承方面（包含但不限于非物质文化遗产）的具体建议措施；提出传统村落保护及发展与乡村旅游、文化产业等“乡村振兴”战略融合发展的具体建议措施；提出村落基础设施改善、公共服务提升措施；提出传统建筑在提升建筑安全、居住舒适性等方面的引导措施；提出村落的路网规划、交通组织及管理、停车设施规划、公交车站设置、可能的旅游线路组织等。</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val="zh-CN"/>
        </w:rPr>
        <w:t>结合全州实际，从该项目的经济、社会、生态、可持续效益等看，项目的实施严格按照州委建设川西北阿坝生态示范区的决定执行，对全州传统村落的保护和利用起到了指导性的作用。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、问题及建议</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因2020年新冠疫情原因，项目的前期工作推进受到一定影响，前期工作对接难度较平时增大，导致项目编制时序有所推迟，目前承担方正在按照委托方意见加紧对项目初步规划成果进行完善。</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（二）相关建议。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无</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pStyle w:val="31"/>
        <w:spacing w:line="600" w:lineRule="exact"/>
        <w:jc w:val="center"/>
        <w:rPr>
          <w:rFonts w:hint="eastAsia" w:ascii="仿宋_GB2312" w:hAnsi="宋体" w:eastAsia="方正小标宋简体"/>
          <w:color w:val="auto"/>
          <w:kern w:val="2"/>
          <w:sz w:val="32"/>
          <w:szCs w:val="32"/>
          <w:lang w:val="en-US" w:eastAsia="zh-CN"/>
        </w:rPr>
      </w:pPr>
      <w:r>
        <w:rPr>
          <w:rFonts w:hint="eastAsia" w:ascii="方正小标宋简体" w:hAnsi="宋体" w:eastAsia="方正小标宋简体"/>
          <w:sz w:val="44"/>
          <w:szCs w:val="44"/>
        </w:rPr>
        <w:t>项目支出绩效自评报告</w:t>
      </w:r>
      <w:r>
        <w:rPr>
          <w:rFonts w:hint="eastAsia" w:ascii="方正小标宋简体" w:hAnsi="宋体" w:eastAsia="方正小标宋简体"/>
          <w:sz w:val="44"/>
          <w:szCs w:val="44"/>
          <w:lang w:val="en-US" w:eastAsia="zh-CN"/>
        </w:rPr>
        <w:t>二</w:t>
      </w:r>
    </w:p>
    <w:p>
      <w:pPr>
        <w:spacing w:line="600" w:lineRule="exact"/>
        <w:jc w:val="center"/>
        <w:rPr>
          <w:rFonts w:hint="eastAsia" w:ascii="仿宋_GB2312" w:hAnsi="仿宋_GB2312" w:eastAsia="仿宋_GB2312" w:cs="仿宋_GB2312"/>
          <w:sz w:val="28"/>
          <w:szCs w:val="28"/>
        </w:rPr>
      </w:pPr>
      <w:r>
        <w:rPr>
          <w:rFonts w:hint="eastAsia" w:ascii="仿宋_GB2312" w:hAnsi="宋体"/>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阿坝州房产交易中心系统运行维护及托管项目</w:t>
      </w:r>
      <w:r>
        <w:rPr>
          <w:rFonts w:hint="eastAsia" w:ascii="仿宋_GB2312" w:hAnsi="仿宋_GB2312" w:eastAsia="仿宋_GB2312" w:cs="仿宋_GB2312"/>
          <w:sz w:val="28"/>
          <w:szCs w:val="28"/>
        </w:rPr>
        <w:t>）</w:t>
      </w:r>
    </w:p>
    <w:p>
      <w:pPr>
        <w:pStyle w:val="31"/>
        <w:spacing w:line="600" w:lineRule="exact"/>
        <w:ind w:firstLine="640"/>
        <w:jc w:val="center"/>
        <w:rPr>
          <w:rFonts w:ascii="宋体" w:hAnsi="宋体"/>
          <w:color w:val="auto"/>
          <w:kern w:val="2"/>
          <w:sz w:val="32"/>
          <w:szCs w:val="32"/>
        </w:rPr>
      </w:pPr>
    </w:p>
    <w:p>
      <w:pPr>
        <w:adjustRightInd w:val="0"/>
        <w:snapToGrid w:val="0"/>
        <w:spacing w:line="600" w:lineRule="exact"/>
        <w:ind w:firstLine="720"/>
        <w:rPr>
          <w:rFonts w:hint="eastAsia"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pPr>
        <w:numPr>
          <w:ilvl w:val="0"/>
          <w:numId w:val="0"/>
        </w:numPr>
        <w:adjustRightInd w:val="0"/>
        <w:snapToGrid w:val="0"/>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2020年州房产交易中心系统运行维护及托管项目由2个子项目组成。</w:t>
      </w:r>
    </w:p>
    <w:p>
      <w:pPr>
        <w:numPr>
          <w:ilvl w:val="0"/>
          <w:numId w:val="0"/>
        </w:numPr>
        <w:adjustRightInd w:val="0"/>
        <w:snapToGrid w:val="0"/>
        <w:spacing w:line="600" w:lineRule="exact"/>
        <w:ind w:firstLine="640"/>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b/>
          <w:bCs/>
          <w:sz w:val="32"/>
          <w:szCs w:val="32"/>
          <w:lang w:val="en-US" w:eastAsia="zh-CN"/>
        </w:rPr>
        <w:t>（一）领导干部个人房产信息查核系统光纤租用子项目。</w:t>
      </w:r>
      <w:r>
        <w:rPr>
          <w:rFonts w:hint="eastAsia" w:ascii="仿宋_GB2312" w:hAnsi="仿宋_GB2312" w:eastAsia="仿宋_GB2312" w:cs="仿宋_GB2312"/>
          <w:sz w:val="32"/>
          <w:szCs w:val="32"/>
          <w:lang w:val="zh-CN"/>
        </w:rPr>
        <w:t>为落实省委组织部、省住房和城乡建设厅《关于建设领导干部个人有关事项报告房产信息查核系统报送系统的通知》（川建房发〔2015〕387号）和《四川省住房和城乡建设厅关于进一步完善全省领导干部个人事项报告房产信息查核报送系统的通知》（川建房发〔2017〕759）有关规定，</w:t>
      </w:r>
      <w:r>
        <w:rPr>
          <w:rFonts w:hint="eastAsia" w:ascii="仿宋_GB2312" w:hAnsi="仿宋_GB2312" w:eastAsia="仿宋_GB2312" w:cs="仿宋_GB2312"/>
          <w:b w:val="0"/>
          <w:bCs/>
          <w:sz w:val="32"/>
          <w:szCs w:val="32"/>
          <w:lang w:val="zh-CN"/>
        </w:rPr>
        <w:t>因领导干部个人房产信息查核属于涉密工作，不能在互联网上进行信息交换，故需要租用州电信公司光纤专线实现信息交换与畅通。</w:t>
      </w:r>
    </w:p>
    <w:p>
      <w:pPr>
        <w:numPr>
          <w:ilvl w:val="0"/>
          <w:numId w:val="0"/>
        </w:numPr>
        <w:adjustRightInd w:val="0"/>
        <w:snapToGrid w:val="0"/>
        <w:spacing w:line="600" w:lineRule="exact"/>
        <w:ind w:firstLine="642"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sz w:val="32"/>
          <w:szCs w:val="32"/>
          <w:lang w:val="en-US" w:eastAsia="zh-CN"/>
        </w:rPr>
        <w:t>（二）领导干部个人房产信息查核系统系统运行维护子项目。</w:t>
      </w:r>
      <w:r>
        <w:rPr>
          <w:rFonts w:hint="eastAsia" w:ascii="仿宋_GB2312" w:hAnsi="仿宋_GB2312" w:eastAsia="仿宋_GB2312" w:cs="仿宋_GB2312"/>
          <w:b w:val="0"/>
          <w:bCs w:val="0"/>
          <w:sz w:val="32"/>
          <w:szCs w:val="32"/>
          <w:lang w:val="en-US" w:eastAsia="zh-CN"/>
        </w:rPr>
        <w:t>2019年查核系统建立运行后，因</w:t>
      </w:r>
      <w:r>
        <w:rPr>
          <w:rFonts w:hint="eastAsia" w:ascii="仿宋_GB2312" w:hAnsi="仿宋_GB2312" w:eastAsia="仿宋_GB2312" w:cs="仿宋_GB2312"/>
          <w:sz w:val="32"/>
          <w:szCs w:val="32"/>
          <w:lang w:val="en-US" w:eastAsia="zh-CN"/>
        </w:rPr>
        <w:t>我局无专业技术人员对系统进行维护管理，需要支付专项运维服务费用确保系统正常运行。</w:t>
      </w:r>
    </w:p>
    <w:p>
      <w:pPr>
        <w:adjustRightInd w:val="0"/>
        <w:snapToGrid w:val="0"/>
        <w:spacing w:line="600" w:lineRule="exact"/>
        <w:ind w:firstLine="720"/>
        <w:rPr>
          <w:rFonts w:hint="eastAsia" w:ascii="黑体" w:hAnsi="黑体" w:eastAsia="黑体" w:cs="黑体"/>
          <w:sz w:val="32"/>
          <w:szCs w:val="32"/>
          <w:lang w:val="zh-CN"/>
        </w:rPr>
      </w:pPr>
      <w:r>
        <w:rPr>
          <w:rFonts w:hint="eastAsia" w:ascii="黑体" w:hAnsi="黑体" w:eastAsia="黑体" w:cs="黑体"/>
          <w:sz w:val="32"/>
          <w:szCs w:val="32"/>
          <w:lang w:val="zh-CN"/>
        </w:rPr>
        <w:t>二、资金情况</w:t>
      </w:r>
    </w:p>
    <w:p>
      <w:pPr>
        <w:numPr>
          <w:ilvl w:val="0"/>
          <w:numId w:val="0"/>
        </w:numPr>
        <w:adjustRightInd w:val="0"/>
        <w:snapToGrid w:val="0"/>
        <w:spacing w:line="600" w:lineRule="exact"/>
        <w:ind w:firstLine="642"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zh-CN"/>
        </w:rPr>
        <w:t>（一）项目资金申报及批复情况。</w:t>
      </w:r>
    </w:p>
    <w:p>
      <w:pPr>
        <w:numPr>
          <w:ilvl w:val="0"/>
          <w:numId w:val="0"/>
        </w:numPr>
        <w:adjustRightInd w:val="0"/>
        <w:snapToGrid w:val="0"/>
        <w:spacing w:line="600" w:lineRule="exact"/>
        <w:ind w:firstLine="963" w:firstLineChars="3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1.领导干部个人房产信息查核系统光纤租用费：</w:t>
      </w:r>
      <w:r>
        <w:rPr>
          <w:rFonts w:hint="eastAsia" w:ascii="仿宋_GB2312" w:hAnsi="仿宋_GB2312" w:eastAsia="仿宋_GB2312" w:cs="仿宋_GB2312"/>
          <w:b w:val="0"/>
          <w:bCs/>
          <w:sz w:val="32"/>
          <w:szCs w:val="32"/>
          <w:lang w:val="zh-CN"/>
        </w:rPr>
        <w:t>按照我局与州电信公司</w:t>
      </w:r>
      <w:r>
        <w:rPr>
          <w:rFonts w:hint="eastAsia" w:ascii="仿宋_GB2312" w:hAnsi="仿宋_GB2312" w:eastAsia="仿宋_GB2312" w:cs="仿宋_GB2312"/>
          <w:b w:val="0"/>
          <w:bCs/>
          <w:sz w:val="32"/>
          <w:szCs w:val="32"/>
          <w:lang w:val="en-US" w:eastAsia="zh-CN"/>
        </w:rPr>
        <w:t>2020年</w:t>
      </w:r>
      <w:r>
        <w:rPr>
          <w:rFonts w:hint="eastAsia" w:ascii="仿宋_GB2312" w:hAnsi="仿宋_GB2312" w:eastAsia="仿宋_GB2312" w:cs="仿宋_GB2312"/>
          <w:b w:val="0"/>
          <w:bCs/>
          <w:sz w:val="32"/>
          <w:szCs w:val="32"/>
          <w:lang w:val="zh-CN"/>
        </w:rPr>
        <w:t>合同约定，13个县（市）各一条专线、州委组织部一条专线共</w:t>
      </w:r>
      <w:r>
        <w:rPr>
          <w:rFonts w:hint="eastAsia" w:ascii="仿宋_GB2312" w:hAnsi="仿宋_GB2312" w:eastAsia="仿宋_GB2312" w:cs="仿宋_GB2312"/>
          <w:b w:val="0"/>
          <w:bCs/>
          <w:sz w:val="32"/>
          <w:szCs w:val="32"/>
          <w:lang w:val="en-US" w:eastAsia="zh-CN"/>
        </w:rPr>
        <w:t>14条专线，每条专线每月1000元，每年需支付16.8万元。故2020年申报16.8万元，批复下达16.8万元。</w:t>
      </w:r>
    </w:p>
    <w:p>
      <w:pPr>
        <w:numPr>
          <w:ilvl w:val="0"/>
          <w:numId w:val="0"/>
        </w:numPr>
        <w:adjustRightInd w:val="0"/>
        <w:snapToGrid w:val="0"/>
        <w:spacing w:line="600" w:lineRule="exact"/>
        <w:ind w:firstLine="963" w:firstLineChars="3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2.领导干部个人房产信息查核系统运行维护费：</w:t>
      </w:r>
      <w:r>
        <w:rPr>
          <w:rFonts w:hint="eastAsia" w:ascii="仿宋_GB2312" w:hAnsi="仿宋_GB2312" w:eastAsia="仿宋_GB2312" w:cs="仿宋_GB2312"/>
          <w:sz w:val="32"/>
          <w:szCs w:val="32"/>
          <w:lang w:val="en-US" w:eastAsia="zh-CN"/>
        </w:rPr>
        <w:t>2020年我局与系统开发单位四川亿联公司签订了运维服务合同，确保系统正常运行。申报资金为1万元，批复资金1万元，实际使用资金0.8万元。</w:t>
      </w:r>
    </w:p>
    <w:p>
      <w:pPr>
        <w:numPr>
          <w:ilvl w:val="0"/>
          <w:numId w:val="0"/>
        </w:numPr>
        <w:adjustRightInd w:val="0"/>
        <w:snapToGrid w:val="0"/>
        <w:spacing w:line="600" w:lineRule="exact"/>
        <w:ind w:firstLine="963" w:firstLineChars="30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（二）项目绩效目标。</w:t>
      </w:r>
    </w:p>
    <w:p>
      <w:pPr>
        <w:adjustRightInd w:val="0"/>
        <w:snapToGrid w:val="0"/>
        <w:spacing w:line="600" w:lineRule="exact"/>
        <w:ind w:firstLine="720"/>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lang w:val="zh-CN" w:eastAsia="zh-CN"/>
        </w:rPr>
        <w:t>领导干部个人房产信息查核系统光纤租用和系统运维服务两个子项目实施的目标：</w:t>
      </w:r>
      <w:r>
        <w:rPr>
          <w:rFonts w:hint="eastAsia" w:ascii="仿宋_GB2312" w:hAnsi="仿宋_GB2312" w:eastAsia="仿宋_GB2312" w:cs="仿宋_GB2312"/>
          <w:b w:val="0"/>
          <w:bCs/>
          <w:sz w:val="32"/>
          <w:szCs w:val="32"/>
          <w:lang w:val="zh-CN"/>
        </w:rPr>
        <w:t>查核工作更加的安全和规范，提升了查核任务工作效率。</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val="0"/>
          <w:bCs/>
          <w:sz w:val="32"/>
          <w:szCs w:val="32"/>
          <w:lang w:val="zh-CN"/>
        </w:rPr>
        <w:t>州本级房地产市场信息平台服务器托管服务子项目实施的目标：</w:t>
      </w:r>
      <w:r>
        <w:rPr>
          <w:rFonts w:hint="eastAsia" w:ascii="仿宋_GB2312" w:hAnsi="仿宋_GB2312" w:eastAsia="仿宋_GB2312" w:cs="仿宋_GB2312"/>
          <w:b w:val="0"/>
          <w:bCs/>
          <w:sz w:val="32"/>
          <w:szCs w:val="32"/>
          <w:lang w:val="zh-CN" w:eastAsia="zh-CN"/>
        </w:rPr>
        <w:t>最大限度地节约财政资金的投入，解决我局未建立标准化机房无专业维护技术、涉密信息安全等问题，采取服务器迁移托管模式，实现我州房产交易市场监管信息化，为州县市房地产市场信息平台各系统运行提供有利条件。</w:t>
      </w:r>
    </w:p>
    <w:p>
      <w:pPr>
        <w:numPr>
          <w:ilvl w:val="0"/>
          <w:numId w:val="0"/>
        </w:numPr>
        <w:adjustRightInd w:val="0"/>
        <w:snapToGrid w:val="0"/>
        <w:spacing w:line="600" w:lineRule="exact"/>
        <w:ind w:firstLine="642"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（三）项目资金申报相符性。</w:t>
      </w:r>
      <w:r>
        <w:rPr>
          <w:rFonts w:hint="eastAsia" w:ascii="仿宋_GB2312" w:hAnsi="仿宋_GB2312" w:eastAsia="仿宋_GB2312" w:cs="仿宋_GB2312"/>
          <w:sz w:val="32"/>
          <w:szCs w:val="32"/>
          <w:lang w:val="zh-CN"/>
        </w:rPr>
        <w:t>项目申报内容与具体实施内容相符。</w:t>
      </w:r>
    </w:p>
    <w:p>
      <w:pPr>
        <w:adjustRightInd w:val="0"/>
        <w:snapToGrid w:val="0"/>
        <w:spacing w:line="600" w:lineRule="exact"/>
        <w:ind w:firstLine="720"/>
        <w:rPr>
          <w:rFonts w:hint="eastAsia" w:ascii="黑体" w:hAnsi="黑体" w:eastAsia="黑体" w:cs="黑体"/>
          <w:sz w:val="32"/>
          <w:szCs w:val="32"/>
          <w:lang w:val="zh-CN"/>
        </w:rPr>
      </w:pPr>
      <w:r>
        <w:rPr>
          <w:rFonts w:hint="eastAsia" w:ascii="黑体" w:hAnsi="黑体" w:eastAsia="黑体" w:cs="黑体"/>
          <w:sz w:val="32"/>
          <w:szCs w:val="32"/>
          <w:lang w:val="en-US" w:eastAsia="zh-CN"/>
        </w:rPr>
        <w:t>三、</w:t>
      </w:r>
      <w:r>
        <w:rPr>
          <w:rFonts w:hint="eastAsia" w:ascii="黑体" w:hAnsi="黑体" w:eastAsia="黑体" w:cs="黑体"/>
          <w:sz w:val="32"/>
          <w:szCs w:val="32"/>
          <w:lang w:val="zh-CN"/>
        </w:rPr>
        <w:t>项目实施及管理情况</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val="zh-CN"/>
        </w:rPr>
        <w:tab/>
      </w:r>
      <w:r>
        <w:rPr>
          <w:rFonts w:hint="eastAsia" w:ascii="仿宋_GB2312" w:hAnsi="仿宋_GB2312" w:eastAsia="仿宋_GB2312" w:cs="仿宋_GB2312"/>
          <w:b/>
          <w:sz w:val="32"/>
          <w:szCs w:val="32"/>
          <w:lang w:val="zh-CN"/>
        </w:rPr>
        <w:t>（一）资金计划、到位及使用情况。</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lang w:val="en-US" w:eastAsia="zh-CN"/>
        </w:rPr>
        <w:t>该项目预算资金为17.6万元，州财政局通过年初预算下达17.6万元。</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2．资金使用。三个子项目均为一次性支付，项目实际支出情况，资金开支范围、标准及支付进度等与申报情况一致。</w:t>
      </w:r>
      <w:r>
        <w:rPr>
          <w:rFonts w:hint="eastAsia" w:ascii="仿宋_GB2312" w:hAnsi="仿宋_GB2312" w:eastAsia="仿宋_GB2312" w:cs="仿宋_GB2312"/>
          <w:sz w:val="32"/>
          <w:szCs w:val="32"/>
          <w:lang w:val="en-US" w:eastAsia="zh-CN"/>
        </w:rPr>
        <w:t>截止2020年12月，该项目共计支出17.6万元。</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（二）项目财务管理情况。</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val="en-US" w:eastAsia="zh-CN"/>
        </w:rPr>
        <w:t>该项目经费是财政下达的项目资金，我局严格按照州财政局项目资金管理办法通过财政直接支付方式进行管理，资金支付进度和方式严格按照合同进行，</w:t>
      </w:r>
      <w:r>
        <w:rPr>
          <w:rFonts w:hint="eastAsia" w:ascii="仿宋_GB2312" w:hAnsi="仿宋_GB2312" w:eastAsia="仿宋_GB2312" w:cs="仿宋_GB2312"/>
          <w:sz w:val="32"/>
          <w:szCs w:val="32"/>
          <w:lang w:val="zh-CN"/>
        </w:rPr>
        <w:t>严格</w:t>
      </w:r>
      <w:r>
        <w:rPr>
          <w:rFonts w:hint="eastAsia" w:ascii="仿宋_GB2312" w:hAnsi="仿宋_GB2312" w:eastAsia="仿宋_GB2312" w:cs="仿宋_GB2312"/>
          <w:sz w:val="32"/>
          <w:szCs w:val="32"/>
          <w:lang w:val="en-US" w:eastAsia="zh-CN"/>
        </w:rPr>
        <w:t>遵守各项财务管理制度。</w:t>
      </w:r>
    </w:p>
    <w:p>
      <w:pPr>
        <w:numPr>
          <w:ilvl w:val="0"/>
          <w:numId w:val="4"/>
        </w:numPr>
        <w:adjustRightInd w:val="0"/>
        <w:snapToGrid w:val="0"/>
        <w:spacing w:line="600" w:lineRule="exact"/>
        <w:ind w:firstLine="72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sz w:val="32"/>
          <w:szCs w:val="32"/>
          <w:lang w:val="zh-CN"/>
        </w:rPr>
        <w:t>项目组织实施情况。</w:t>
      </w:r>
      <w:r>
        <w:rPr>
          <w:rFonts w:hint="eastAsia" w:ascii="仿宋_GB2312" w:hAnsi="仿宋_GB2312" w:eastAsia="仿宋_GB2312" w:cs="仿宋_GB2312"/>
          <w:sz w:val="32"/>
          <w:szCs w:val="32"/>
          <w:lang w:val="zh-CN" w:eastAsia="zh-CN"/>
        </w:rPr>
        <w:t>三个子项目均签订了合同，严格按照合同约定执行。</w:t>
      </w:r>
    </w:p>
    <w:p>
      <w:pPr>
        <w:adjustRightInd w:val="0"/>
        <w:snapToGrid w:val="0"/>
        <w:spacing w:line="600" w:lineRule="exact"/>
        <w:ind w:firstLine="720"/>
        <w:rPr>
          <w:rFonts w:hint="eastAsia" w:ascii="黑体" w:hAnsi="黑体" w:eastAsia="黑体" w:cs="黑体"/>
          <w:sz w:val="32"/>
          <w:szCs w:val="32"/>
          <w:lang w:val="zh-CN"/>
        </w:rPr>
      </w:pPr>
      <w:r>
        <w:rPr>
          <w:rFonts w:hint="eastAsia" w:ascii="黑体" w:hAnsi="黑体" w:eastAsia="黑体" w:cs="黑体"/>
          <w:sz w:val="32"/>
          <w:szCs w:val="32"/>
          <w:lang w:val="en-US" w:eastAsia="zh-CN"/>
        </w:rPr>
        <w:t>四</w:t>
      </w:r>
      <w:r>
        <w:rPr>
          <w:rFonts w:hint="eastAsia" w:ascii="黑体" w:hAnsi="黑体" w:eastAsia="黑体" w:cs="黑体"/>
          <w:sz w:val="32"/>
          <w:szCs w:val="32"/>
          <w:lang w:val="zh-CN"/>
        </w:rPr>
        <w:t>、项目绩效情况</w:t>
      </w:r>
      <w:r>
        <w:rPr>
          <w:rFonts w:hint="eastAsia" w:ascii="黑体" w:hAnsi="黑体" w:eastAsia="黑体" w:cs="黑体"/>
          <w:sz w:val="32"/>
          <w:szCs w:val="32"/>
          <w:lang w:val="zh-CN"/>
        </w:rPr>
        <w:tab/>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（一）项目完成情况。</w:t>
      </w:r>
    </w:p>
    <w:p>
      <w:pPr>
        <w:adjustRightInd w:val="0"/>
        <w:snapToGrid w:val="0"/>
        <w:spacing w:line="600" w:lineRule="exact"/>
        <w:ind w:firstLine="72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zh-CN"/>
        </w:rPr>
        <w:t>该项目计划与实际完成情况一致。</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（二）项目效益情况。</w:t>
      </w:r>
      <w:r>
        <w:rPr>
          <w:rFonts w:hint="eastAsia" w:ascii="仿宋_GB2312" w:hAnsi="仿宋_GB2312" w:eastAsia="仿宋_GB2312" w:cs="仿宋_GB2312"/>
          <w:b w:val="0"/>
          <w:bCs/>
          <w:sz w:val="32"/>
          <w:szCs w:val="32"/>
          <w:lang w:val="zh-CN" w:eastAsia="zh-CN"/>
        </w:rPr>
        <w:t>领导干部个人房产信息查核系统光纤租用和系统运维服务两个子项目的实施，对我局开展领导干部个人房产信息查核工作</w:t>
      </w:r>
      <w:r>
        <w:rPr>
          <w:rFonts w:hint="eastAsia" w:ascii="仿宋_GB2312" w:hAnsi="仿宋_GB2312" w:eastAsia="仿宋_GB2312" w:cs="仿宋_GB2312"/>
          <w:b w:val="0"/>
          <w:bCs/>
          <w:sz w:val="32"/>
          <w:szCs w:val="32"/>
          <w:lang w:val="zh-CN"/>
        </w:rPr>
        <w:t>起到了促进作用，查核工作更加的安全和规范，也提升了查核任务工作效率。州本级房地产市场信息平台服务器托管服务子项目实施，</w:t>
      </w:r>
      <w:r>
        <w:rPr>
          <w:rFonts w:hint="eastAsia" w:ascii="仿宋_GB2312" w:hAnsi="仿宋_GB2312" w:eastAsia="仿宋_GB2312" w:cs="仿宋_GB2312"/>
          <w:b w:val="0"/>
          <w:bCs/>
          <w:sz w:val="32"/>
          <w:szCs w:val="32"/>
          <w:lang w:val="zh-CN" w:eastAsia="zh-CN"/>
        </w:rPr>
        <w:t>最大限度地节约财政资金的投入，解决我局未建立标准化机房无专业维护技术、涉密信息安全等问题，采取服务器迁移托管模式，实现我州房产交易市场监管信息化，为州县市房地产市场信息平台各系统运行提供有利条件。</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、问</w:t>
      </w:r>
      <w:r>
        <w:rPr>
          <w:rFonts w:hint="eastAsia" w:ascii="黑体" w:hAnsi="黑体" w:eastAsia="黑体" w:cs="黑体"/>
          <w:sz w:val="32"/>
          <w:szCs w:val="32"/>
          <w:lang w:val="zh-CN"/>
        </w:rPr>
        <w:t>题及建议</w:t>
      </w:r>
      <w:r>
        <w:rPr>
          <w:rFonts w:hint="eastAsia" w:ascii="黑体" w:hAnsi="黑体" w:eastAsia="黑体" w:cs="黑体"/>
          <w:sz w:val="32"/>
          <w:szCs w:val="32"/>
          <w:lang w:val="zh-CN" w:eastAsia="zh-CN"/>
        </w:rPr>
        <w:t>：</w:t>
      </w:r>
      <w:r>
        <w:rPr>
          <w:rFonts w:hint="eastAsia" w:ascii="仿宋_GB2312" w:hAnsi="仿宋_GB2312" w:eastAsia="仿宋_GB2312" w:cs="仿宋_GB2312"/>
          <w:sz w:val="32"/>
          <w:szCs w:val="32"/>
          <w:lang w:val="en-US" w:eastAsia="zh-CN"/>
        </w:rPr>
        <w:t>无。</w:t>
      </w:r>
    </w:p>
    <w:p>
      <w:pPr>
        <w:widowControl/>
        <w:jc w:val="left"/>
        <w:rPr>
          <w:rStyle w:val="24"/>
          <w:rFonts w:ascii="黑体" w:hAnsi="黑体" w:eastAsia="黑体"/>
          <w:b w:val="0"/>
        </w:rPr>
      </w:pPr>
    </w:p>
    <w:p>
      <w:pPr>
        <w:pStyle w:val="31"/>
        <w:keepNext w:val="0"/>
        <w:keepLines w:val="0"/>
        <w:pageBreakBefore w:val="0"/>
        <w:kinsoku/>
        <w:wordWrap/>
        <w:overflowPunct/>
        <w:topLinePunct w:val="0"/>
        <w:autoSpaceDE/>
        <w:autoSpaceDN/>
        <w:bidi w:val="0"/>
        <w:spacing w:line="560" w:lineRule="exact"/>
        <w:ind w:left="0"/>
        <w:jc w:val="center"/>
        <w:rPr>
          <w:rFonts w:hint="eastAsia" w:ascii="仿宋_GB2312" w:eastAsia="方正小标宋简体"/>
          <w:color w:val="auto"/>
          <w:kern w:val="2"/>
          <w:sz w:val="32"/>
          <w:szCs w:val="32"/>
          <w:lang w:val="en-US" w:eastAsia="zh-CN"/>
        </w:rPr>
      </w:pPr>
      <w:r>
        <w:rPr>
          <w:rFonts w:hint="eastAsia" w:ascii="方正小标宋简体" w:eastAsia="方正小标宋简体"/>
          <w:sz w:val="44"/>
          <w:szCs w:val="44"/>
        </w:rPr>
        <w:t>项目支出绩效自评报告</w:t>
      </w:r>
      <w:r>
        <w:rPr>
          <w:rFonts w:hint="eastAsia" w:ascii="方正小标宋简体" w:eastAsia="方正小标宋简体"/>
          <w:sz w:val="44"/>
          <w:szCs w:val="44"/>
          <w:lang w:val="en-US" w:eastAsia="zh-CN"/>
        </w:rPr>
        <w:t>三</w:t>
      </w:r>
    </w:p>
    <w:p>
      <w:pPr>
        <w:spacing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（工程建设项目审批</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系统培训）</w:t>
      </w:r>
    </w:p>
    <w:p>
      <w:pPr>
        <w:pStyle w:val="31"/>
        <w:spacing w:line="600" w:lineRule="exact"/>
        <w:ind w:firstLine="640"/>
        <w:jc w:val="center"/>
        <w:rPr>
          <w:rFonts w:hint="eastAsia" w:ascii="仿宋_GB2312" w:hAnsi="仿宋_GB2312" w:eastAsia="仿宋_GB2312" w:cs="仿宋_GB2312"/>
          <w:color w:val="auto"/>
          <w:kern w:val="2"/>
          <w:sz w:val="32"/>
          <w:szCs w:val="32"/>
        </w:rPr>
      </w:pPr>
    </w:p>
    <w:p>
      <w:pPr>
        <w:adjustRightInd w:val="0"/>
        <w:snapToGrid w:val="0"/>
        <w:spacing w:line="600" w:lineRule="exact"/>
        <w:ind w:firstLine="720"/>
        <w:rPr>
          <w:rFonts w:hint="eastAsia" w:ascii="黑体" w:hAnsi="黑体" w:eastAsia="黑体" w:cs="黑体"/>
          <w:b/>
          <w:bCs/>
          <w:color w:val="auto"/>
          <w:sz w:val="32"/>
          <w:szCs w:val="32"/>
          <w:lang w:val="zh-CN"/>
        </w:rPr>
      </w:pPr>
      <w:r>
        <w:rPr>
          <w:rFonts w:hint="eastAsia" w:ascii="黑体" w:hAnsi="黑体" w:eastAsia="黑体" w:cs="黑体"/>
          <w:b/>
          <w:bCs/>
          <w:color w:val="auto"/>
          <w:sz w:val="32"/>
          <w:szCs w:val="32"/>
        </w:rPr>
        <w:t>一、</w:t>
      </w:r>
      <w:r>
        <w:rPr>
          <w:rFonts w:hint="eastAsia" w:ascii="黑体" w:hAnsi="黑体" w:eastAsia="黑体" w:cs="黑体"/>
          <w:b/>
          <w:bCs/>
          <w:color w:val="auto"/>
          <w:sz w:val="32"/>
          <w:szCs w:val="32"/>
          <w:lang w:val="zh-CN"/>
        </w:rPr>
        <w:t>项目概况</w:t>
      </w:r>
    </w:p>
    <w:p>
      <w:pPr>
        <w:adjustRightInd w:val="0"/>
        <w:snapToGrid w:val="0"/>
        <w:spacing w:line="600" w:lineRule="exact"/>
        <w:ind w:firstLine="72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zh-CN"/>
        </w:rPr>
        <w:t>（一）项目资金申报及批复情况。</w:t>
      </w:r>
      <w:r>
        <w:rPr>
          <w:rFonts w:hint="eastAsia" w:ascii="仿宋_GB2312" w:hAnsi="仿宋_GB2312" w:eastAsia="仿宋_GB2312" w:cs="仿宋_GB2312"/>
          <w:b w:val="0"/>
          <w:bCs/>
          <w:color w:val="auto"/>
          <w:sz w:val="32"/>
          <w:szCs w:val="32"/>
          <w:lang w:val="en-US" w:eastAsia="zh-CN"/>
        </w:rPr>
        <w:t>按照局2020年培训计划，组织全州工程建设项目审批管理系统实操业务培训。该培训纳入了2020年初预算，培训经费已通过年初预算下达。</w:t>
      </w:r>
    </w:p>
    <w:p>
      <w:pPr>
        <w:adjustRightInd w:val="0"/>
        <w:snapToGrid w:val="0"/>
        <w:spacing w:line="600" w:lineRule="exact"/>
        <w:ind w:firstLine="72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zh-CN"/>
        </w:rPr>
        <w:t>（二）项目绩效目标。</w:t>
      </w:r>
      <w:r>
        <w:rPr>
          <w:rFonts w:hint="eastAsia" w:ascii="仿宋_GB2312" w:hAnsi="仿宋_GB2312" w:eastAsia="仿宋_GB2312" w:cs="仿宋_GB2312"/>
          <w:color w:val="auto"/>
          <w:sz w:val="32"/>
          <w:szCs w:val="32"/>
          <w:lang w:bidi="ar-SA"/>
        </w:rPr>
        <w:t>12月8日至11日，对全州工改工作相关人员60余人培训基础信息录入、流程配置、审批办件、实际操作、信息收集等内容。</w:t>
      </w:r>
      <w:r>
        <w:rPr>
          <w:rFonts w:hint="eastAsia" w:ascii="仿宋_GB2312" w:hAnsi="仿宋_GB2312" w:eastAsia="仿宋_GB2312" w:cs="仿宋_GB2312"/>
          <w:color w:val="auto"/>
          <w:sz w:val="32"/>
          <w:szCs w:val="32"/>
          <w:lang w:val="en-US" w:eastAsia="zh-CN" w:bidi="ar-SA"/>
        </w:rPr>
        <w:t>大大提高了经办人员业务水平，有力推动了全州工程建设项目审批制度改革。</w:t>
      </w:r>
    </w:p>
    <w:p>
      <w:pPr>
        <w:adjustRightInd w:val="0"/>
        <w:snapToGrid w:val="0"/>
        <w:spacing w:line="600" w:lineRule="exact"/>
        <w:ind w:firstLine="72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（三）项目资金申报相符性。</w:t>
      </w:r>
      <w:r>
        <w:rPr>
          <w:rFonts w:hint="eastAsia" w:ascii="仿宋_GB2312" w:hAnsi="仿宋_GB2312" w:eastAsia="仿宋_GB2312" w:cs="仿宋_GB2312"/>
          <w:color w:val="auto"/>
          <w:sz w:val="32"/>
          <w:szCs w:val="32"/>
          <w:lang w:val="en-US" w:eastAsia="zh-CN" w:bidi="ar-SA"/>
        </w:rPr>
        <w:t>该培训</w:t>
      </w:r>
      <w:r>
        <w:rPr>
          <w:rFonts w:hint="eastAsia" w:ascii="仿宋_GB2312" w:hAnsi="仿宋_GB2312" w:eastAsia="仿宋_GB2312" w:cs="仿宋_GB2312"/>
          <w:color w:val="auto"/>
          <w:sz w:val="32"/>
          <w:szCs w:val="32"/>
          <w:lang w:val="en-US" w:eastAsia="zh-CN"/>
        </w:rPr>
        <w:t>是经单位申报、组织部批准的培训项目，</w:t>
      </w:r>
      <w:r>
        <w:rPr>
          <w:rFonts w:hint="eastAsia" w:ascii="仿宋_GB2312" w:hAnsi="仿宋_GB2312" w:eastAsia="仿宋_GB2312" w:cs="仿宋_GB2312"/>
          <w:color w:val="auto"/>
          <w:sz w:val="32"/>
          <w:szCs w:val="32"/>
          <w:lang w:val="zh-CN"/>
        </w:rPr>
        <w:t>符合我州</w:t>
      </w:r>
      <w:r>
        <w:rPr>
          <w:rFonts w:hint="eastAsia" w:ascii="仿宋_GB2312" w:hAnsi="仿宋_GB2312" w:eastAsia="仿宋_GB2312" w:cs="仿宋_GB2312"/>
          <w:color w:val="auto"/>
          <w:sz w:val="32"/>
          <w:szCs w:val="32"/>
          <w:lang w:val="en-US" w:eastAsia="zh-CN"/>
        </w:rPr>
        <w:t>举办</w:t>
      </w:r>
      <w:r>
        <w:rPr>
          <w:rFonts w:hint="eastAsia" w:ascii="仿宋_GB2312" w:hAnsi="仿宋_GB2312" w:eastAsia="仿宋_GB2312" w:cs="仿宋_GB2312"/>
          <w:color w:val="auto"/>
          <w:sz w:val="32"/>
          <w:szCs w:val="32"/>
          <w:lang w:val="zh-CN"/>
        </w:rPr>
        <w:t>培训</w:t>
      </w:r>
      <w:r>
        <w:rPr>
          <w:rFonts w:hint="eastAsia" w:ascii="仿宋_GB2312" w:hAnsi="仿宋_GB2312" w:eastAsia="仿宋_GB2312" w:cs="仿宋_GB2312"/>
          <w:color w:val="auto"/>
          <w:sz w:val="32"/>
          <w:szCs w:val="32"/>
          <w:lang w:val="en-US" w:eastAsia="zh-CN"/>
        </w:rPr>
        <w:t>班的</w:t>
      </w:r>
      <w:r>
        <w:rPr>
          <w:rFonts w:hint="eastAsia" w:ascii="仿宋_GB2312" w:hAnsi="仿宋_GB2312" w:eastAsia="仿宋_GB2312" w:cs="仿宋_GB2312"/>
          <w:color w:val="auto"/>
          <w:sz w:val="32"/>
          <w:szCs w:val="32"/>
          <w:lang w:val="zh-CN"/>
        </w:rPr>
        <w:t>相关要求。</w:t>
      </w:r>
      <w:r>
        <w:rPr>
          <w:rFonts w:hint="eastAsia" w:ascii="仿宋_GB2312" w:hAnsi="仿宋_GB2312" w:eastAsia="仿宋_GB2312" w:cs="仿宋_GB2312"/>
          <w:color w:val="auto"/>
          <w:sz w:val="32"/>
          <w:szCs w:val="32"/>
          <w:lang w:val="en-US" w:eastAsia="zh-CN"/>
        </w:rPr>
        <w:t>培训发生的专家授课费、资料费、餐费、住宿费、会议室租赁费等均符合我州培训费相关管理规定。</w:t>
      </w:r>
    </w:p>
    <w:p>
      <w:pPr>
        <w:adjustRightInd w:val="0"/>
        <w:snapToGrid w:val="0"/>
        <w:spacing w:line="600" w:lineRule="exact"/>
        <w:ind w:firstLine="720"/>
        <w:rPr>
          <w:rFonts w:hint="eastAsia" w:ascii="黑体" w:hAnsi="黑体" w:eastAsia="黑体" w:cs="黑体"/>
          <w:b/>
          <w:bCs/>
          <w:color w:val="auto"/>
          <w:sz w:val="32"/>
          <w:szCs w:val="32"/>
        </w:rPr>
      </w:pPr>
      <w:r>
        <w:rPr>
          <w:rFonts w:hint="eastAsia" w:ascii="黑体" w:hAnsi="黑体" w:eastAsia="黑体" w:cs="黑体"/>
          <w:b/>
          <w:bCs/>
          <w:color w:val="auto"/>
          <w:sz w:val="32"/>
          <w:szCs w:val="32"/>
        </w:rPr>
        <w:t>二、项目实施及管理情况</w:t>
      </w:r>
    </w:p>
    <w:p>
      <w:pPr>
        <w:adjustRightInd w:val="0"/>
        <w:snapToGrid w:val="0"/>
        <w:spacing w:line="600" w:lineRule="exact"/>
        <w:ind w:firstLine="720"/>
        <w:rPr>
          <w:rFonts w:hint="eastAsia"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（一）资金计划、到位及使用情况。</w:t>
      </w:r>
    </w:p>
    <w:p>
      <w:pPr>
        <w:adjustRightInd w:val="0"/>
        <w:snapToGrid w:val="0"/>
        <w:spacing w:line="600" w:lineRule="exact"/>
        <w:ind w:firstLine="72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1．资金计划及到位。</w:t>
      </w:r>
      <w:r>
        <w:rPr>
          <w:rFonts w:hint="eastAsia" w:ascii="仿宋_GB2312" w:hAnsi="仿宋_GB2312" w:eastAsia="仿宋_GB2312" w:cs="仿宋_GB2312"/>
          <w:sz w:val="32"/>
          <w:szCs w:val="32"/>
          <w:lang w:val="en-US" w:eastAsia="zh-CN"/>
        </w:rPr>
        <w:t>本次培训经费通过年初预算申报计划，资金已通过财政年初预算下达。</w:t>
      </w:r>
    </w:p>
    <w:p>
      <w:pPr>
        <w:adjustRightInd w:val="0"/>
        <w:snapToGrid w:val="0"/>
        <w:spacing w:line="600" w:lineRule="exact"/>
        <w:ind w:firstLine="72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2．资金使用。此次培训共产生培训费（含教师授课费）48100元，经局第84次党组会审议通过，统一支付该费用，目前，该费用已通过财政局审核并支付。</w:t>
      </w:r>
    </w:p>
    <w:p>
      <w:pPr>
        <w:adjustRightInd w:val="0"/>
        <w:snapToGrid w:val="0"/>
        <w:spacing w:line="600" w:lineRule="exact"/>
        <w:ind w:firstLine="720"/>
        <w:rPr>
          <w:rFonts w:hint="eastAsia"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（二）项目财务管理情况。</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本次培训的经费根据单位财务管理制度，由单位统一核算报销，做到了事前、事中、事后全程监督。</w:t>
      </w:r>
    </w:p>
    <w:p>
      <w:pPr>
        <w:adjustRightInd w:val="0"/>
        <w:snapToGrid w:val="0"/>
        <w:spacing w:line="600" w:lineRule="exact"/>
        <w:ind w:firstLine="720"/>
        <w:rPr>
          <w:rFonts w:hint="eastAsia"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（三）项目组织实施情况。</w:t>
      </w:r>
    </w:p>
    <w:p>
      <w:pPr>
        <w:adjustRightInd w:val="0"/>
        <w:snapToGrid w:val="0"/>
        <w:spacing w:line="600" w:lineRule="exact"/>
        <w:ind w:firstLine="72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该项目由徐富刚副局长负责组织，建管科、行政审批科具体负责，新腾数致公司系统开发教师负责授课。</w:t>
      </w:r>
    </w:p>
    <w:p>
      <w:pPr>
        <w:adjustRightInd w:val="0"/>
        <w:snapToGrid w:val="0"/>
        <w:spacing w:line="600" w:lineRule="exact"/>
        <w:ind w:firstLine="720"/>
        <w:rPr>
          <w:rFonts w:hint="eastAsia" w:ascii="黑体" w:hAnsi="黑体" w:eastAsia="黑体" w:cs="黑体"/>
          <w:b/>
          <w:bCs/>
          <w:color w:val="auto"/>
          <w:sz w:val="32"/>
          <w:szCs w:val="32"/>
          <w:lang w:val="zh-CN"/>
        </w:rPr>
      </w:pPr>
      <w:r>
        <w:rPr>
          <w:rFonts w:hint="eastAsia" w:ascii="黑体" w:hAnsi="黑体" w:eastAsia="黑体" w:cs="黑体"/>
          <w:b/>
          <w:bCs/>
          <w:color w:val="auto"/>
          <w:sz w:val="32"/>
          <w:szCs w:val="32"/>
        </w:rPr>
        <w:t>三、项目绩效情况</w:t>
      </w:r>
      <w:r>
        <w:rPr>
          <w:rFonts w:hint="eastAsia" w:ascii="黑体" w:hAnsi="黑体" w:eastAsia="黑体" w:cs="黑体"/>
          <w:b/>
          <w:bCs/>
          <w:color w:val="auto"/>
          <w:sz w:val="32"/>
          <w:szCs w:val="32"/>
          <w:lang w:val="zh-CN"/>
        </w:rPr>
        <w:tab/>
      </w:r>
    </w:p>
    <w:p>
      <w:pPr>
        <w:adjustRightInd w:val="0"/>
        <w:snapToGrid w:val="0"/>
        <w:spacing w:line="600" w:lineRule="exact"/>
        <w:ind w:firstLine="720"/>
        <w:rPr>
          <w:rFonts w:hint="eastAsia"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（一）项目完成情况。</w:t>
      </w:r>
    </w:p>
    <w:p>
      <w:pPr>
        <w:adjustRightInd w:val="0"/>
        <w:snapToGrid w:val="0"/>
        <w:spacing w:line="600" w:lineRule="exact"/>
        <w:ind w:firstLine="720"/>
        <w:rPr>
          <w:rFonts w:hint="eastAsia" w:ascii="仿宋_GB2312" w:hAnsi="仿宋_GB2312" w:eastAsia="仿宋_GB2312" w:cs="仿宋_GB2312"/>
          <w:b/>
          <w:color w:val="auto"/>
          <w:sz w:val="32"/>
          <w:szCs w:val="32"/>
          <w:lang w:val="zh-CN"/>
        </w:rPr>
      </w:pPr>
      <w:r>
        <w:rPr>
          <w:rFonts w:hint="eastAsia" w:ascii="仿宋_GB2312" w:hAnsi="仿宋_GB2312" w:eastAsia="仿宋_GB2312" w:cs="仿宋_GB2312"/>
          <w:color w:val="auto"/>
          <w:sz w:val="32"/>
          <w:szCs w:val="32"/>
          <w:lang w:bidi="ar-SA"/>
        </w:rPr>
        <w:t>12月8日至11日，对全州工改工作相关人员60余人培训基础信息录入、流程配置、审批办件、实际操作、信息收集等内容。</w:t>
      </w:r>
    </w:p>
    <w:p>
      <w:pPr>
        <w:adjustRightInd w:val="0"/>
        <w:snapToGrid w:val="0"/>
        <w:spacing w:line="600" w:lineRule="exact"/>
        <w:ind w:firstLine="720"/>
        <w:rPr>
          <w:rFonts w:hint="eastAsia" w:ascii="仿宋_GB2312" w:hAnsi="仿宋_GB2312" w:eastAsia="仿宋_GB2312" w:cs="仿宋_GB2312"/>
          <w:b/>
          <w:color w:val="auto"/>
          <w:sz w:val="32"/>
          <w:szCs w:val="32"/>
          <w:lang w:val="zh-CN"/>
        </w:rPr>
      </w:pPr>
      <w:r>
        <w:rPr>
          <w:rFonts w:hint="eastAsia" w:ascii="仿宋_GB2312" w:hAnsi="仿宋_GB2312" w:eastAsia="仿宋_GB2312" w:cs="仿宋_GB2312"/>
          <w:b/>
          <w:color w:val="auto"/>
          <w:sz w:val="32"/>
          <w:szCs w:val="32"/>
          <w:lang w:val="zh-CN"/>
        </w:rPr>
        <w:t>（二）项目效益情况。</w:t>
      </w:r>
      <w:r>
        <w:rPr>
          <w:rFonts w:hint="eastAsia" w:ascii="仿宋_GB2312" w:hAnsi="仿宋_GB2312" w:eastAsia="仿宋_GB2312" w:cs="仿宋_GB2312"/>
          <w:color w:val="auto"/>
          <w:sz w:val="32"/>
          <w:szCs w:val="32"/>
          <w:lang w:bidi="ar-SA"/>
        </w:rPr>
        <w:t>参训人员对系统进一步熟悉运用，培训期间，项目录入数量由培训前的3个增加至19个，培训效果明显。</w:t>
      </w:r>
    </w:p>
    <w:p>
      <w:pPr>
        <w:adjustRightInd w:val="0"/>
        <w:snapToGrid w:val="0"/>
        <w:spacing w:line="600" w:lineRule="exact"/>
        <w:ind w:firstLine="720"/>
        <w:rPr>
          <w:rFonts w:hint="eastAsia" w:ascii="黑体" w:hAnsi="黑体" w:eastAsia="黑体" w:cs="黑体"/>
          <w:b/>
          <w:bCs/>
          <w:color w:val="auto"/>
          <w:sz w:val="32"/>
          <w:szCs w:val="32"/>
        </w:rPr>
      </w:pPr>
      <w:r>
        <w:rPr>
          <w:rFonts w:hint="eastAsia" w:ascii="黑体" w:hAnsi="黑体" w:eastAsia="黑体" w:cs="黑体"/>
          <w:b/>
          <w:bCs/>
          <w:color w:val="auto"/>
          <w:sz w:val="32"/>
          <w:szCs w:val="32"/>
        </w:rPr>
        <w:t>四、问题及建议</w:t>
      </w:r>
    </w:p>
    <w:p>
      <w:pPr>
        <w:adjustRightInd w:val="0"/>
        <w:snapToGrid w:val="0"/>
        <w:spacing w:line="600" w:lineRule="exact"/>
        <w:ind w:firstLine="720"/>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zh-CN"/>
        </w:rPr>
        <w:t>（一）存在的问题。</w:t>
      </w:r>
      <w:r>
        <w:rPr>
          <w:rFonts w:hint="eastAsia" w:ascii="仿宋_GB2312" w:hAnsi="仿宋_GB2312" w:eastAsia="仿宋_GB2312" w:cs="仿宋_GB2312"/>
          <w:b/>
          <w:color w:val="auto"/>
          <w:sz w:val="32"/>
          <w:szCs w:val="32"/>
          <w:lang w:val="en-US" w:eastAsia="zh-CN"/>
        </w:rPr>
        <w:t>无。</w:t>
      </w:r>
    </w:p>
    <w:p>
      <w:pPr>
        <w:adjustRightInd w:val="0"/>
        <w:snapToGrid w:val="0"/>
        <w:spacing w:line="600" w:lineRule="exact"/>
        <w:ind w:firstLine="72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zh-CN"/>
        </w:rPr>
        <w:t>（二）相关建议。</w:t>
      </w:r>
      <w:r>
        <w:rPr>
          <w:rFonts w:hint="eastAsia" w:ascii="仿宋_GB2312" w:hAnsi="仿宋_GB2312" w:eastAsia="仿宋_GB2312" w:cs="仿宋_GB2312"/>
          <w:b/>
          <w:color w:val="auto"/>
          <w:sz w:val="32"/>
          <w:szCs w:val="32"/>
          <w:lang w:val="en-US" w:eastAsia="zh-CN"/>
        </w:rPr>
        <w:t>无。</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仿宋_GB2312" w:hAnsi="仿宋_GB2312" w:eastAsia="仿宋_GB2312" w:cs="仿宋_GB2312"/>
          <w:color w:val="000000"/>
          <w:sz w:val="32"/>
          <w:szCs w:val="32"/>
          <w:lang w:val="zh-CN" w:eastAsia="zh-CN"/>
        </w:rPr>
      </w:pPr>
    </w:p>
    <w:p>
      <w:pPr>
        <w:pStyle w:val="31"/>
        <w:spacing w:line="600" w:lineRule="exact"/>
        <w:ind w:firstLine="883"/>
        <w:jc w:val="center"/>
        <w:rPr>
          <w:rFonts w:hint="eastAsia" w:ascii="仿宋_GB2312" w:hAnsi="宋体" w:eastAsia="方正小标宋简体"/>
          <w:color w:val="auto"/>
          <w:kern w:val="2"/>
          <w:sz w:val="32"/>
          <w:szCs w:val="32"/>
          <w:lang w:val="en-US" w:eastAsia="zh-CN"/>
        </w:rPr>
      </w:pPr>
      <w:r>
        <w:rPr>
          <w:rFonts w:hint="eastAsia" w:ascii="方正小标宋简体" w:hAnsi="宋体" w:eastAsia="方正小标宋简体"/>
          <w:sz w:val="44"/>
          <w:szCs w:val="44"/>
        </w:rPr>
        <w:t>项目支出绩效自评报告</w:t>
      </w:r>
      <w:r>
        <w:rPr>
          <w:rFonts w:hint="eastAsia" w:ascii="方正小标宋简体" w:hAnsi="宋体" w:eastAsia="方正小标宋简体"/>
          <w:sz w:val="44"/>
          <w:szCs w:val="44"/>
          <w:lang w:val="en-US" w:eastAsia="zh-CN"/>
        </w:rPr>
        <w:t>四</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办公设备采购</w:t>
      </w:r>
      <w:r>
        <w:rPr>
          <w:rFonts w:hint="eastAsia" w:ascii="仿宋_GB2312" w:hAnsi="仿宋_GB2312" w:eastAsia="仿宋_GB2312" w:cs="仿宋_GB2312"/>
          <w:sz w:val="32"/>
          <w:szCs w:val="32"/>
        </w:rPr>
        <w:t>）</w:t>
      </w:r>
    </w:p>
    <w:p>
      <w:pPr>
        <w:pStyle w:val="31"/>
        <w:spacing w:line="600" w:lineRule="exact"/>
        <w:ind w:firstLine="640"/>
        <w:jc w:val="center"/>
        <w:rPr>
          <w:rFonts w:hint="eastAsia" w:ascii="仿宋_GB2312" w:hAnsi="仿宋_GB2312" w:eastAsia="仿宋_GB2312" w:cs="仿宋_GB2312"/>
          <w:color w:val="auto"/>
          <w:kern w:val="2"/>
          <w:sz w:val="32"/>
          <w:szCs w:val="32"/>
        </w:rPr>
      </w:pPr>
    </w:p>
    <w:p>
      <w:pPr>
        <w:adjustRightInd w:val="0"/>
        <w:snapToGrid w:val="0"/>
        <w:spacing w:line="600" w:lineRule="exact"/>
        <w:ind w:firstLine="720"/>
        <w:rPr>
          <w:rFonts w:hint="eastAsia"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zh-CN"/>
        </w:rPr>
        <w:t>（一）项目资金申报及批复情况。</w:t>
      </w:r>
      <w:r>
        <w:rPr>
          <w:rFonts w:hint="eastAsia" w:ascii="仿宋_GB2312" w:hAnsi="仿宋_GB2312" w:eastAsia="仿宋_GB2312" w:cs="仿宋_GB2312"/>
          <w:sz w:val="32"/>
          <w:szCs w:val="32"/>
          <w:lang w:val="en-US" w:eastAsia="zh-CN"/>
        </w:rPr>
        <w:t>该项目预算金额为15万元，实际批复金额为13万元。</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zh-CN"/>
        </w:rPr>
        <w:t>（二）项目绩效目标。</w:t>
      </w:r>
      <w:r>
        <w:rPr>
          <w:rFonts w:hint="eastAsia" w:ascii="仿宋_GB2312" w:hAnsi="仿宋_GB2312" w:eastAsia="仿宋_GB2312" w:cs="仿宋_GB2312"/>
          <w:sz w:val="32"/>
          <w:szCs w:val="32"/>
          <w:lang w:val="en-US" w:eastAsia="zh-CN"/>
        </w:rPr>
        <w:t>该项目的年度绩效目标是采购办公设备，满足日常办公需求，进一步提高办公效率。</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zh-CN"/>
        </w:rPr>
        <w:t>（三）项目资金申报相符性。</w:t>
      </w:r>
      <w:r>
        <w:rPr>
          <w:rFonts w:hint="eastAsia" w:ascii="仿宋_GB2312" w:hAnsi="仿宋_GB2312" w:eastAsia="仿宋_GB2312" w:cs="仿宋_GB2312"/>
          <w:sz w:val="32"/>
          <w:szCs w:val="32"/>
          <w:lang w:val="en-US" w:eastAsia="zh-CN"/>
        </w:rPr>
        <w:t>该项目通过政府采购方式网上竞价及商场直购进行，同类商品市场品种多，参考价格有价值，预算合理。</w:t>
      </w:r>
    </w:p>
    <w:p>
      <w:pPr>
        <w:adjustRightInd w:val="0"/>
        <w:snapToGrid w:val="0"/>
        <w:spacing w:line="600" w:lineRule="exact"/>
        <w:ind w:firstLine="720"/>
        <w:rPr>
          <w:rFonts w:hint="eastAsia" w:ascii="黑体" w:hAnsi="黑体" w:eastAsia="黑体" w:cs="黑体"/>
          <w:sz w:val="32"/>
          <w:szCs w:val="32"/>
        </w:rPr>
      </w:pPr>
      <w:r>
        <w:rPr>
          <w:rFonts w:hint="eastAsia" w:ascii="黑体" w:hAnsi="黑体" w:eastAsia="黑体" w:cs="黑体"/>
          <w:sz w:val="32"/>
          <w:szCs w:val="32"/>
        </w:rPr>
        <w:t>二、项目实施及管理情况</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val="zh-CN"/>
        </w:rPr>
        <w:tab/>
      </w:r>
      <w:r>
        <w:rPr>
          <w:rFonts w:hint="eastAsia" w:ascii="仿宋_GB2312" w:hAnsi="仿宋_GB2312" w:eastAsia="仿宋_GB2312" w:cs="仿宋_GB2312"/>
          <w:b/>
          <w:sz w:val="32"/>
          <w:szCs w:val="32"/>
          <w:lang w:val="zh-CN"/>
        </w:rPr>
        <w:t>（一）资金计划、到位及使用情况。</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1．资金计划及到位。该项目</w:t>
      </w:r>
      <w:r>
        <w:rPr>
          <w:rFonts w:hint="eastAsia" w:ascii="仿宋_GB2312" w:hAnsi="仿宋_GB2312" w:eastAsia="仿宋_GB2312" w:cs="仿宋_GB2312"/>
          <w:sz w:val="32"/>
          <w:szCs w:val="32"/>
          <w:lang w:val="en-US" w:eastAsia="zh-CN"/>
        </w:rPr>
        <w:t>资金通过年初预算下达至单位大平台。</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2．资金使用。</w:t>
      </w:r>
      <w:r>
        <w:rPr>
          <w:rFonts w:hint="eastAsia" w:ascii="仿宋_GB2312" w:hAnsi="仿宋_GB2312" w:eastAsia="仿宋_GB2312" w:cs="仿宋_GB2312"/>
          <w:sz w:val="32"/>
          <w:szCs w:val="32"/>
          <w:lang w:val="en-US" w:eastAsia="zh-CN"/>
        </w:rPr>
        <w:t>该项目已于2020年12月完成，并通过财政直接支付的方式支付了全部项目合同款127980元。</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（二）项目财务管理情况。</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该项目经费是财政下达的项目资金，我局严格按照州财政局项目资金管理办法通过财政直接支付方式进行管理，资金支付进度和方式严格按照合同进行，</w:t>
      </w:r>
      <w:r>
        <w:rPr>
          <w:rFonts w:hint="eastAsia" w:ascii="仿宋_GB2312" w:hAnsi="仿宋_GB2312" w:eastAsia="仿宋_GB2312" w:cs="仿宋_GB2312"/>
          <w:sz w:val="32"/>
          <w:szCs w:val="32"/>
          <w:lang w:val="zh-CN"/>
        </w:rPr>
        <w:t>严格</w:t>
      </w:r>
      <w:r>
        <w:rPr>
          <w:rFonts w:hint="eastAsia" w:ascii="仿宋_GB2312" w:hAnsi="仿宋_GB2312" w:eastAsia="仿宋_GB2312" w:cs="仿宋_GB2312"/>
          <w:sz w:val="32"/>
          <w:szCs w:val="32"/>
          <w:lang w:val="en-US" w:eastAsia="zh-CN"/>
        </w:rPr>
        <w:t>遵守各项财务管理制度，</w:t>
      </w:r>
      <w:r>
        <w:rPr>
          <w:rFonts w:hint="eastAsia" w:ascii="仿宋_GB2312" w:hAnsi="仿宋_GB2312" w:eastAsia="仿宋_GB2312" w:cs="仿宋_GB2312"/>
          <w:sz w:val="32"/>
          <w:szCs w:val="32"/>
          <w:lang w:val="zh-CN"/>
        </w:rPr>
        <w:t>及时进行了财务处理、会计核算规范。</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（三）项目组织实施情况。</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该项目通过年初采购备案，并经采购备案管理部门批准，单位分别经网上竞价、商场直购的方式进行了采购。采购过程合规合法。项目实施过程中，单位监督贯穿全过程，确保项目实现预定效益。</w:t>
      </w:r>
    </w:p>
    <w:p>
      <w:pPr>
        <w:adjustRightInd w:val="0"/>
        <w:snapToGrid w:val="0"/>
        <w:spacing w:line="600" w:lineRule="exact"/>
        <w:ind w:firstLine="720"/>
        <w:rPr>
          <w:rFonts w:hint="eastAsia" w:ascii="黑体" w:hAnsi="黑体" w:eastAsia="黑体" w:cs="黑体"/>
          <w:sz w:val="32"/>
          <w:szCs w:val="32"/>
          <w:lang w:val="zh-CN"/>
        </w:rPr>
      </w:pPr>
      <w:r>
        <w:rPr>
          <w:rFonts w:hint="eastAsia" w:ascii="黑体" w:hAnsi="黑体" w:eastAsia="黑体" w:cs="黑体"/>
          <w:sz w:val="32"/>
          <w:szCs w:val="32"/>
        </w:rPr>
        <w:t>三、项目绩效情况</w:t>
      </w:r>
      <w:r>
        <w:rPr>
          <w:rFonts w:hint="eastAsia" w:ascii="黑体" w:hAnsi="黑体" w:eastAsia="黑体" w:cs="黑体"/>
          <w:sz w:val="32"/>
          <w:szCs w:val="32"/>
          <w:lang w:val="zh-CN"/>
        </w:rPr>
        <w:tab/>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zh-CN"/>
        </w:rPr>
        <w:t>（一）项目完成情况。</w:t>
      </w:r>
      <w:r>
        <w:rPr>
          <w:rFonts w:hint="eastAsia" w:ascii="仿宋_GB2312" w:hAnsi="仿宋_GB2312" w:eastAsia="仿宋_GB2312" w:cs="仿宋_GB2312"/>
          <w:sz w:val="32"/>
          <w:szCs w:val="32"/>
          <w:lang w:val="en-US" w:eastAsia="zh-CN"/>
        </w:rPr>
        <w:t>办公设备采购已于2020年12月按既定目标绩效完成。</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zh-CN"/>
        </w:rPr>
        <w:t>（二）项目效益情况。</w:t>
      </w:r>
      <w:r>
        <w:rPr>
          <w:rFonts w:hint="eastAsia" w:ascii="仿宋_GB2312" w:hAnsi="仿宋_GB2312" w:eastAsia="仿宋_GB2312" w:cs="仿宋_GB2312"/>
          <w:sz w:val="32"/>
          <w:szCs w:val="32"/>
          <w:lang w:val="en-US" w:eastAsia="zh-CN"/>
        </w:rPr>
        <w:t>本次采购满足了单位基本办公需求，提高了工作效率。</w:t>
      </w:r>
    </w:p>
    <w:p>
      <w:pPr>
        <w:adjustRightInd w:val="0"/>
        <w:snapToGrid w:val="0"/>
        <w:spacing w:line="600" w:lineRule="exact"/>
        <w:ind w:firstLine="720"/>
        <w:rPr>
          <w:rFonts w:hint="eastAsia" w:ascii="黑体" w:hAnsi="黑体" w:eastAsia="黑体" w:cs="黑体"/>
          <w:sz w:val="32"/>
          <w:szCs w:val="32"/>
        </w:rPr>
      </w:pPr>
      <w:r>
        <w:rPr>
          <w:rFonts w:hint="eastAsia" w:ascii="黑体" w:hAnsi="黑体" w:eastAsia="黑体" w:cs="黑体"/>
          <w:sz w:val="32"/>
          <w:szCs w:val="32"/>
        </w:rPr>
        <w:t>四、问题及建议</w:t>
      </w:r>
    </w:p>
    <w:p>
      <w:pPr>
        <w:adjustRightInd w:val="0"/>
        <w:snapToGrid w:val="0"/>
        <w:spacing w:line="600" w:lineRule="exact"/>
        <w:ind w:firstLine="72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zh-CN"/>
        </w:rPr>
        <w:t>（一）存在的问题。</w:t>
      </w:r>
      <w:r>
        <w:rPr>
          <w:rFonts w:hint="eastAsia" w:ascii="仿宋_GB2312" w:hAnsi="仿宋_GB2312" w:eastAsia="仿宋_GB2312" w:cs="仿宋_GB2312"/>
          <w:b/>
          <w:sz w:val="32"/>
          <w:szCs w:val="32"/>
          <w:lang w:val="en-US" w:eastAsia="zh-CN"/>
        </w:rPr>
        <w:t>无。</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zh-CN"/>
        </w:rPr>
        <w:t>（二）相关建议。</w:t>
      </w:r>
      <w:r>
        <w:rPr>
          <w:rFonts w:hint="eastAsia" w:ascii="仿宋_GB2312" w:hAnsi="仿宋_GB2312" w:eastAsia="仿宋_GB2312" w:cs="仿宋_GB2312"/>
          <w:b/>
          <w:sz w:val="32"/>
          <w:szCs w:val="32"/>
          <w:lang w:val="en-US" w:eastAsia="zh-CN"/>
        </w:rPr>
        <w:t>无。</w:t>
      </w:r>
    </w:p>
    <w:p>
      <w:pPr>
        <w:widowControl/>
        <w:jc w:val="left"/>
        <w:rPr>
          <w:rStyle w:val="24"/>
          <w:rFonts w:ascii="黑体" w:hAnsi="黑体" w:eastAsia="黑体"/>
          <w:b w:val="0"/>
        </w:rPr>
      </w:pPr>
    </w:p>
    <w:p>
      <w:pPr>
        <w:widowControl/>
        <w:jc w:val="center"/>
        <w:rPr>
          <w:rStyle w:val="24"/>
          <w:rFonts w:ascii="黑体" w:hAnsi="黑体" w:eastAsia="黑体"/>
          <w:b w:val="0"/>
        </w:rPr>
      </w:pPr>
    </w:p>
    <w:p>
      <w:pPr>
        <w:pStyle w:val="31"/>
        <w:spacing w:line="600" w:lineRule="exact"/>
        <w:jc w:val="center"/>
        <w:rPr>
          <w:rFonts w:hint="eastAsia" w:ascii="仿宋_GB2312" w:hAnsi="宋体" w:eastAsia="方正小标宋简体"/>
          <w:color w:val="auto"/>
          <w:kern w:val="2"/>
          <w:sz w:val="32"/>
          <w:szCs w:val="32"/>
          <w:lang w:val="en-US" w:eastAsia="zh-CN"/>
        </w:rPr>
      </w:pPr>
      <w:r>
        <w:rPr>
          <w:rFonts w:hint="eastAsia" w:ascii="方正小标宋简体" w:hAnsi="宋体" w:eastAsia="方正小标宋简体"/>
          <w:sz w:val="44"/>
          <w:szCs w:val="44"/>
        </w:rPr>
        <w:t>项目支出绩效自评报告</w:t>
      </w:r>
      <w:r>
        <w:rPr>
          <w:rFonts w:hint="eastAsia" w:ascii="方正小标宋简体" w:hAnsi="宋体" w:eastAsia="方正小标宋简体"/>
          <w:sz w:val="44"/>
          <w:szCs w:val="44"/>
          <w:lang w:val="en-US" w:eastAsia="zh-CN"/>
        </w:rPr>
        <w:t>五</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（城乡环境综合治理生活垃圾分类专题培训班）</w:t>
      </w:r>
    </w:p>
    <w:p>
      <w:pPr>
        <w:pStyle w:val="31"/>
        <w:spacing w:line="500" w:lineRule="exact"/>
        <w:ind w:firstLine="640"/>
        <w:jc w:val="center"/>
        <w:rPr>
          <w:rFonts w:hint="eastAsia" w:ascii="仿宋_GB2312" w:hAnsi="仿宋_GB2312" w:eastAsia="仿宋_GB2312" w:cs="仿宋_GB2312"/>
          <w:color w:val="auto"/>
          <w:kern w:val="2"/>
          <w:sz w:val="32"/>
          <w:szCs w:val="32"/>
        </w:rPr>
      </w:pPr>
    </w:p>
    <w:p>
      <w:pPr>
        <w:adjustRightInd w:val="0"/>
        <w:snapToGrid w:val="0"/>
        <w:spacing w:line="500" w:lineRule="exact"/>
        <w:ind w:firstLine="720"/>
        <w:rPr>
          <w:rFonts w:hint="eastAsia"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pPr>
        <w:adjustRightInd w:val="0"/>
        <w:snapToGrid w:val="0"/>
        <w:spacing w:line="5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（一）项目资金申报及批复情况。</w:t>
      </w:r>
      <w:r>
        <w:rPr>
          <w:rFonts w:hint="eastAsia" w:ascii="仿宋_GB2312" w:hAnsi="仿宋_GB2312" w:eastAsia="仿宋_GB2312" w:cs="仿宋_GB2312"/>
          <w:sz w:val="32"/>
          <w:szCs w:val="32"/>
          <w:lang w:val="zh-CN"/>
        </w:rPr>
        <w:t>按照局2020年培训计划，组织全州住建系统和州直有关部门人员开展</w:t>
      </w:r>
      <w:r>
        <w:rPr>
          <w:rFonts w:hint="eastAsia" w:ascii="仿宋_GB2312" w:hAnsi="仿宋_GB2312" w:eastAsia="仿宋_GB2312" w:cs="仿宋_GB2312"/>
          <w:sz w:val="32"/>
          <w:szCs w:val="32"/>
        </w:rPr>
        <w:t>生活垃圾分类专题培训</w:t>
      </w:r>
      <w:r>
        <w:rPr>
          <w:rFonts w:hint="eastAsia" w:ascii="仿宋_GB2312" w:hAnsi="仿宋_GB2312" w:eastAsia="仿宋_GB2312" w:cs="仿宋_GB2312"/>
          <w:sz w:val="32"/>
          <w:szCs w:val="32"/>
          <w:lang w:val="zh-CN"/>
        </w:rPr>
        <w:t>。</w:t>
      </w:r>
    </w:p>
    <w:p>
      <w:pPr>
        <w:adjustRightInd w:val="0"/>
        <w:snapToGrid w:val="0"/>
        <w:spacing w:line="5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（二）项目绩效目标。</w:t>
      </w:r>
      <w:r>
        <w:rPr>
          <w:rFonts w:hint="eastAsia" w:ascii="仿宋_GB2312" w:hAnsi="仿宋_GB2312" w:eastAsia="仿宋_GB2312" w:cs="仿宋_GB2312"/>
          <w:sz w:val="32"/>
          <w:szCs w:val="32"/>
        </w:rPr>
        <w:t>通过培训，更好的学习贯彻国家、省有关生活垃圾分类和处置工作的决策部署，学习借鉴其他地区生活垃圾分类和处置的经验做法，提高我州生活垃圾分类和处置工作水平</w:t>
      </w:r>
      <w:r>
        <w:rPr>
          <w:rFonts w:hint="eastAsia" w:ascii="仿宋_GB2312" w:hAnsi="仿宋_GB2312" w:eastAsia="仿宋_GB2312" w:cs="仿宋_GB2312"/>
          <w:sz w:val="32"/>
          <w:szCs w:val="32"/>
          <w:lang w:val="zh-CN"/>
        </w:rPr>
        <w:t>。</w:t>
      </w:r>
    </w:p>
    <w:p>
      <w:pPr>
        <w:adjustRightInd w:val="0"/>
        <w:snapToGrid w:val="0"/>
        <w:spacing w:line="50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zh-CN"/>
        </w:rPr>
        <w:t>（三）项目资金申报相符性。</w:t>
      </w:r>
      <w:r>
        <w:rPr>
          <w:rFonts w:hint="eastAsia" w:ascii="仿宋_GB2312" w:hAnsi="仿宋_GB2312" w:eastAsia="仿宋_GB2312" w:cs="仿宋_GB2312"/>
          <w:sz w:val="32"/>
          <w:szCs w:val="32"/>
        </w:rPr>
        <w:t>全州城乡环境综合治理生活垃圾分类专题培训是经单位申报、组织部门批准的培训项目，</w:t>
      </w:r>
      <w:r>
        <w:rPr>
          <w:rFonts w:hint="eastAsia" w:ascii="仿宋_GB2312" w:hAnsi="仿宋_GB2312" w:eastAsia="仿宋_GB2312" w:cs="仿宋_GB2312"/>
          <w:sz w:val="32"/>
          <w:szCs w:val="32"/>
          <w:lang w:val="zh-CN"/>
        </w:rPr>
        <w:t>符合我州</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val="zh-CN"/>
        </w:rPr>
        <w:t>培训</w:t>
      </w:r>
      <w:r>
        <w:rPr>
          <w:rFonts w:hint="eastAsia" w:ascii="仿宋_GB2312" w:hAnsi="仿宋_GB2312" w:eastAsia="仿宋_GB2312" w:cs="仿宋_GB2312"/>
          <w:sz w:val="32"/>
          <w:szCs w:val="32"/>
        </w:rPr>
        <w:t>班的</w:t>
      </w:r>
      <w:r>
        <w:rPr>
          <w:rFonts w:hint="eastAsia" w:ascii="仿宋_GB2312" w:hAnsi="仿宋_GB2312" w:eastAsia="仿宋_GB2312" w:cs="仿宋_GB2312"/>
          <w:sz w:val="32"/>
          <w:szCs w:val="32"/>
          <w:lang w:val="zh-CN"/>
        </w:rPr>
        <w:t>相关要求，培训内容和实际费用支出范围与申报一致。</w:t>
      </w:r>
    </w:p>
    <w:p>
      <w:pPr>
        <w:adjustRightInd w:val="0"/>
        <w:snapToGrid w:val="0"/>
        <w:spacing w:line="500" w:lineRule="exact"/>
        <w:ind w:firstLine="720"/>
        <w:rPr>
          <w:rFonts w:hint="eastAsia" w:ascii="黑体" w:hAnsi="黑体" w:eastAsia="黑体" w:cs="黑体"/>
          <w:sz w:val="32"/>
          <w:szCs w:val="32"/>
        </w:rPr>
      </w:pPr>
      <w:r>
        <w:rPr>
          <w:rFonts w:hint="eastAsia" w:ascii="黑体" w:hAnsi="黑体" w:eastAsia="黑体" w:cs="黑体"/>
          <w:sz w:val="32"/>
          <w:szCs w:val="32"/>
        </w:rPr>
        <w:t>二、项目实施及管理情况</w:t>
      </w:r>
    </w:p>
    <w:p>
      <w:pPr>
        <w:adjustRightInd w:val="0"/>
        <w:snapToGrid w:val="0"/>
        <w:spacing w:line="5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val="zh-CN"/>
        </w:rPr>
        <w:tab/>
      </w:r>
      <w:r>
        <w:rPr>
          <w:rFonts w:hint="eastAsia" w:ascii="仿宋_GB2312" w:hAnsi="仿宋_GB2312" w:eastAsia="仿宋_GB2312" w:cs="仿宋_GB2312"/>
          <w:b/>
          <w:sz w:val="32"/>
          <w:szCs w:val="32"/>
          <w:lang w:val="zh-CN"/>
        </w:rPr>
        <w:t>（一）资金计划、到位及使用情况。</w:t>
      </w:r>
    </w:p>
    <w:p>
      <w:pPr>
        <w:adjustRightInd w:val="0"/>
        <w:snapToGrid w:val="0"/>
        <w:spacing w:line="50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1．资金计划及到位。</w:t>
      </w:r>
      <w:r>
        <w:rPr>
          <w:rFonts w:hint="eastAsia" w:ascii="仿宋_GB2312" w:hAnsi="仿宋_GB2312" w:eastAsia="仿宋_GB2312" w:cs="仿宋_GB2312"/>
          <w:sz w:val="32"/>
          <w:szCs w:val="32"/>
        </w:rPr>
        <w:t>本次培训经费通过年初预算申报计划，资金已通过财政年初预算下达。</w:t>
      </w:r>
    </w:p>
    <w:p>
      <w:pPr>
        <w:adjustRightInd w:val="0"/>
        <w:snapToGrid w:val="0"/>
        <w:spacing w:line="500" w:lineRule="exact"/>
        <w:ind w:firstLine="72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zh-CN"/>
        </w:rPr>
        <w:t>2．资金使用。</w:t>
      </w:r>
      <w:r>
        <w:rPr>
          <w:rFonts w:hint="eastAsia" w:ascii="仿宋_GB2312" w:hAnsi="仿宋_GB2312" w:eastAsia="仿宋_GB2312" w:cs="仿宋_GB2312"/>
          <w:sz w:val="32"/>
          <w:szCs w:val="32"/>
        </w:rPr>
        <w:t>本次培训预算</w:t>
      </w:r>
      <w:r>
        <w:rPr>
          <w:rFonts w:hint="eastAsia" w:ascii="仿宋_GB2312" w:hAnsi="仿宋_GB2312" w:eastAsia="仿宋_GB2312" w:cs="仿宋_GB2312"/>
          <w:sz w:val="32"/>
          <w:szCs w:val="32"/>
          <w:lang w:val="zh-CN"/>
        </w:rPr>
        <w:t>支出</w:t>
      </w:r>
      <w:r>
        <w:rPr>
          <w:rFonts w:hint="eastAsia" w:ascii="仿宋_GB2312" w:hAnsi="仿宋_GB2312" w:eastAsia="仿宋_GB2312" w:cs="仿宋_GB2312"/>
          <w:sz w:val="32"/>
          <w:szCs w:val="32"/>
        </w:rPr>
        <w:t>7.53万</w:t>
      </w:r>
      <w:r>
        <w:rPr>
          <w:rFonts w:hint="eastAsia" w:ascii="仿宋_GB2312" w:hAnsi="仿宋_GB2312" w:eastAsia="仿宋_GB2312" w:cs="仿宋_GB2312"/>
          <w:sz w:val="32"/>
          <w:szCs w:val="32"/>
          <w:lang w:val="zh-CN"/>
        </w:rPr>
        <w:t>元，实际支出6.462万元。其中：住宿费1.98万元，餐费1.224万元，资料费0.558万元（含培训资料、教学租车、教学设备和场地等），培训费（含教师课酬、课程设计、培训组织管理等）2.7万元。</w:t>
      </w:r>
    </w:p>
    <w:p>
      <w:pPr>
        <w:adjustRightInd w:val="0"/>
        <w:snapToGrid w:val="0"/>
        <w:spacing w:line="5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（二）项目财务管理情况。</w:t>
      </w:r>
    </w:p>
    <w:p>
      <w:pPr>
        <w:adjustRightInd w:val="0"/>
        <w:snapToGrid w:val="0"/>
        <w:spacing w:line="50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本次培训的经费根据单位财务管理制度，由单位统一核算报销，做到了事前、事中、事后全程监督。</w:t>
      </w:r>
    </w:p>
    <w:p>
      <w:pPr>
        <w:adjustRightInd w:val="0"/>
        <w:snapToGrid w:val="0"/>
        <w:spacing w:line="5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（三）项目组织实施情况。</w:t>
      </w:r>
    </w:p>
    <w:p>
      <w:pPr>
        <w:spacing w:line="5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通过前期制定培训方案并经局务会研究同意，于2020年9月28日-9月29日（27日报到）在成都西门智选假日酒店以邀请专家授课和去往肖家河街道现场观摩学习的方式进行培训。</w:t>
      </w:r>
    </w:p>
    <w:p>
      <w:pPr>
        <w:adjustRightInd w:val="0"/>
        <w:snapToGrid w:val="0"/>
        <w:spacing w:line="500" w:lineRule="exact"/>
        <w:ind w:firstLine="720"/>
        <w:rPr>
          <w:rFonts w:hint="eastAsia" w:ascii="黑体" w:hAnsi="黑体" w:eastAsia="黑体" w:cs="黑体"/>
          <w:sz w:val="32"/>
          <w:szCs w:val="32"/>
          <w:lang w:val="zh-CN"/>
        </w:rPr>
      </w:pPr>
      <w:r>
        <w:rPr>
          <w:rFonts w:hint="eastAsia" w:ascii="黑体" w:hAnsi="黑体" w:eastAsia="黑体" w:cs="黑体"/>
          <w:sz w:val="32"/>
          <w:szCs w:val="32"/>
        </w:rPr>
        <w:t>三、项目绩效情况</w:t>
      </w:r>
      <w:r>
        <w:rPr>
          <w:rFonts w:hint="eastAsia" w:ascii="黑体" w:hAnsi="黑体" w:eastAsia="黑体" w:cs="黑体"/>
          <w:sz w:val="32"/>
          <w:szCs w:val="32"/>
          <w:lang w:val="zh-CN"/>
        </w:rPr>
        <w:tab/>
      </w:r>
    </w:p>
    <w:p>
      <w:pPr>
        <w:adjustRightInd w:val="0"/>
        <w:snapToGrid w:val="0"/>
        <w:spacing w:line="5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（一）项目完成情况。</w:t>
      </w:r>
    </w:p>
    <w:p>
      <w:pPr>
        <w:adjustRightInd w:val="0"/>
        <w:snapToGrid w:val="0"/>
        <w:spacing w:line="500" w:lineRule="exact"/>
        <w:ind w:firstLine="720"/>
        <w:rPr>
          <w:rFonts w:hint="eastAsia" w:ascii="仿宋_GB2312" w:hAnsi="仿宋_GB2312" w:eastAsia="仿宋_GB2312" w:cs="仿宋_GB2312"/>
          <w:b/>
          <w:sz w:val="32"/>
          <w:szCs w:val="32"/>
          <w:highlight w:val="yellow"/>
        </w:rPr>
      </w:pPr>
      <w:r>
        <w:rPr>
          <w:rFonts w:hint="eastAsia" w:ascii="仿宋_GB2312" w:hAnsi="仿宋_GB2312" w:eastAsia="仿宋_GB2312" w:cs="仿宋_GB2312"/>
          <w:sz w:val="32"/>
          <w:szCs w:val="32"/>
          <w:lang w:val="zh-CN"/>
        </w:rPr>
        <w:t>圆满完成既定培</w:t>
      </w:r>
      <w:r>
        <w:rPr>
          <w:rFonts w:hint="eastAsia" w:ascii="仿宋_GB2312" w:hAnsi="仿宋_GB2312" w:eastAsia="仿宋_GB2312" w:cs="仿宋_GB2312"/>
          <w:sz w:val="32"/>
          <w:szCs w:val="32"/>
        </w:rPr>
        <w:t>训计划，培训2天，参训62人。</w:t>
      </w:r>
    </w:p>
    <w:p>
      <w:pPr>
        <w:adjustRightInd w:val="0"/>
        <w:snapToGrid w:val="0"/>
        <w:spacing w:line="5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（二）项目效益情况。</w:t>
      </w:r>
    </w:p>
    <w:p>
      <w:pPr>
        <w:adjustRightInd w:val="0"/>
        <w:snapToGrid w:val="0"/>
        <w:spacing w:line="50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各县（市）、相关部门相关人员进一步增强了对垃圾分类工作的认识、提高了政策理解、掌握了工作要求，也了解和学习了试点地区垃圾分类的经验做法，有利于运用学习成果指导实际工作。</w:t>
      </w:r>
    </w:p>
    <w:p>
      <w:pPr>
        <w:adjustRightInd w:val="0"/>
        <w:snapToGrid w:val="0"/>
        <w:spacing w:line="500" w:lineRule="exact"/>
        <w:ind w:firstLine="720"/>
        <w:rPr>
          <w:rFonts w:hint="eastAsia" w:ascii="黑体" w:hAnsi="黑体" w:eastAsia="黑体" w:cs="黑体"/>
          <w:sz w:val="32"/>
          <w:szCs w:val="32"/>
        </w:rPr>
      </w:pPr>
      <w:r>
        <w:rPr>
          <w:rFonts w:hint="eastAsia" w:ascii="黑体" w:hAnsi="黑体" w:eastAsia="黑体" w:cs="黑体"/>
          <w:sz w:val="32"/>
          <w:szCs w:val="32"/>
        </w:rPr>
        <w:t>四、问题及建议</w:t>
      </w:r>
    </w:p>
    <w:p>
      <w:pPr>
        <w:adjustRightInd w:val="0"/>
        <w:snapToGrid w:val="0"/>
        <w:spacing w:line="5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（一）存在的问题。</w:t>
      </w:r>
    </w:p>
    <w:p>
      <w:pPr>
        <w:adjustRightInd w:val="0"/>
        <w:snapToGrid w:val="0"/>
        <w:spacing w:line="5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无</w:t>
      </w:r>
    </w:p>
    <w:p>
      <w:pPr>
        <w:adjustRightInd w:val="0"/>
        <w:snapToGrid w:val="0"/>
        <w:spacing w:line="5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（二）相关建议。</w:t>
      </w:r>
    </w:p>
    <w:p>
      <w:pPr>
        <w:adjustRightInd w:val="0"/>
        <w:snapToGrid w:val="0"/>
        <w:spacing w:line="5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无</w:t>
      </w:r>
    </w:p>
    <w:p>
      <w:pPr>
        <w:rPr>
          <w:rFonts w:hint="eastAsia" w:ascii="仿宋_GB2312" w:hAnsi="仿宋_GB2312" w:eastAsia="仿宋_GB2312" w:cs="仿宋_GB2312"/>
          <w:sz w:val="32"/>
          <w:szCs w:val="32"/>
        </w:rPr>
      </w:pPr>
    </w:p>
    <w:p>
      <w:pPr>
        <w:widowControl/>
        <w:jc w:val="left"/>
        <w:rPr>
          <w:rStyle w:val="24"/>
          <w:rFonts w:hint="eastAsia" w:ascii="仿宋_GB2312" w:hAnsi="仿宋_GB2312" w:eastAsia="仿宋_GB2312" w:cs="仿宋_GB2312"/>
          <w:b w:val="0"/>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p>
    <w:p>
      <w:pPr>
        <w:spacing w:line="600" w:lineRule="exact"/>
        <w:jc w:val="center"/>
        <w:outlineLvl w:val="9"/>
        <w:rPr>
          <w:rFonts w:hint="eastAsia" w:ascii="黑体" w:hAnsi="黑体" w:eastAsia="黑体"/>
          <w:color w:val="000000"/>
          <w:sz w:val="44"/>
          <w:szCs w:val="44"/>
        </w:rPr>
      </w:pPr>
      <w:bookmarkStart w:id="81" w:name="_Toc15396618"/>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bookmarkStart w:id="82" w:name="_Toc14172"/>
      <w:r>
        <w:rPr>
          <w:rFonts w:hint="eastAsia" w:ascii="黑体" w:hAnsi="黑体" w:eastAsia="黑体"/>
          <w:color w:val="000000"/>
          <w:sz w:val="44"/>
          <w:szCs w:val="44"/>
        </w:rPr>
        <w:t>第</w:t>
      </w:r>
      <w:r>
        <w:rPr>
          <w:rStyle w:val="24"/>
          <w:rFonts w:hint="eastAsia" w:ascii="黑体" w:hAnsi="黑体" w:eastAsia="黑体"/>
          <w:b w:val="0"/>
        </w:rPr>
        <w:t>五部分 附表</w:t>
      </w:r>
      <w:bookmarkEnd w:id="77"/>
      <w:bookmarkEnd w:id="81"/>
      <w:bookmarkEnd w:id="82"/>
    </w:p>
    <w:p>
      <w:pPr>
        <w:spacing w:line="600" w:lineRule="exact"/>
        <w:jc w:val="center"/>
        <w:outlineLvl w:val="9"/>
        <w:rPr>
          <w:rFonts w:ascii="仿宋" w:hAnsi="仿宋" w:eastAsia="仿宋"/>
          <w:b/>
          <w:color w:val="000000"/>
          <w:sz w:val="44"/>
          <w:szCs w:val="44"/>
        </w:rPr>
      </w:pPr>
    </w:p>
    <w:p>
      <w:pPr>
        <w:pStyle w:val="3"/>
        <w:rPr>
          <w:rFonts w:ascii="仿宋" w:hAnsi="仿宋" w:eastAsia="仿宋"/>
          <w:color w:val="000000"/>
        </w:rPr>
      </w:pPr>
      <w:bookmarkStart w:id="83" w:name="_Toc7641"/>
      <w:bookmarkStart w:id="84"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83"/>
      <w:bookmarkEnd w:id="84"/>
    </w:p>
    <w:p>
      <w:pPr>
        <w:pStyle w:val="3"/>
        <w:rPr>
          <w:rFonts w:ascii="仿宋" w:hAnsi="仿宋" w:eastAsia="仿宋"/>
          <w:color w:val="000000"/>
        </w:rPr>
      </w:pPr>
      <w:bookmarkStart w:id="85" w:name="_Toc15396620"/>
      <w:bookmarkStart w:id="86" w:name="_Toc27331"/>
      <w:r>
        <w:rPr>
          <w:rFonts w:hint="eastAsia" w:ascii="仿宋" w:hAnsi="仿宋" w:eastAsia="仿宋"/>
          <w:b w:val="0"/>
          <w:color w:val="000000"/>
        </w:rPr>
        <w:t>二、收</w:t>
      </w:r>
      <w:r>
        <w:rPr>
          <w:rStyle w:val="25"/>
          <w:rFonts w:hint="eastAsia" w:ascii="仿宋" w:hAnsi="仿宋" w:eastAsia="仿宋"/>
          <w:b w:val="0"/>
          <w:bCs w:val="0"/>
        </w:rPr>
        <w:t>入决算表</w:t>
      </w:r>
      <w:bookmarkEnd w:id="85"/>
      <w:bookmarkEnd w:id="86"/>
    </w:p>
    <w:p>
      <w:pPr>
        <w:pStyle w:val="3"/>
        <w:rPr>
          <w:rFonts w:ascii="仿宋" w:hAnsi="仿宋" w:eastAsia="仿宋"/>
          <w:color w:val="000000"/>
        </w:rPr>
      </w:pPr>
      <w:bookmarkStart w:id="87" w:name="_Toc26834"/>
      <w:bookmarkStart w:id="88"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87"/>
      <w:bookmarkEnd w:id="88"/>
    </w:p>
    <w:p>
      <w:pPr>
        <w:pStyle w:val="3"/>
        <w:rPr>
          <w:rFonts w:ascii="仿宋" w:hAnsi="仿宋" w:eastAsia="仿宋"/>
          <w:b w:val="0"/>
          <w:color w:val="000000"/>
        </w:rPr>
      </w:pPr>
      <w:bookmarkStart w:id="89" w:name="_Toc20077"/>
      <w:bookmarkStart w:id="90"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89"/>
      <w:bookmarkEnd w:id="90"/>
    </w:p>
    <w:p>
      <w:pPr>
        <w:pStyle w:val="3"/>
        <w:rPr>
          <w:rStyle w:val="25"/>
          <w:rFonts w:ascii="仿宋" w:hAnsi="仿宋" w:eastAsia="仿宋"/>
          <w:b w:val="0"/>
          <w:bCs w:val="0"/>
        </w:rPr>
      </w:pPr>
      <w:bookmarkStart w:id="91" w:name="_Toc15396623"/>
      <w:bookmarkStart w:id="92" w:name="_Toc5049"/>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91"/>
      <w:bookmarkEnd w:id="92"/>
      <w:bookmarkStart w:id="93" w:name="_Toc15396624"/>
    </w:p>
    <w:p>
      <w:pPr>
        <w:pStyle w:val="3"/>
        <w:rPr>
          <w:rFonts w:ascii="仿宋" w:hAnsi="仿宋" w:eastAsia="仿宋"/>
          <w:color w:val="000000"/>
        </w:rPr>
      </w:pPr>
      <w:bookmarkStart w:id="94" w:name="_Toc24880"/>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93"/>
      <w:bookmarkEnd w:id="94"/>
    </w:p>
    <w:p>
      <w:pPr>
        <w:pStyle w:val="3"/>
        <w:rPr>
          <w:rFonts w:ascii="仿宋" w:hAnsi="仿宋" w:eastAsia="仿宋"/>
          <w:color w:val="000000"/>
        </w:rPr>
      </w:pPr>
      <w:bookmarkStart w:id="95" w:name="_Toc25001"/>
      <w:bookmarkStart w:id="9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95"/>
      <w:bookmarkEnd w:id="96"/>
    </w:p>
    <w:p>
      <w:pPr>
        <w:pStyle w:val="3"/>
        <w:rPr>
          <w:rFonts w:ascii="仿宋" w:hAnsi="仿宋" w:eastAsia="仿宋"/>
          <w:color w:val="000000"/>
        </w:rPr>
      </w:pPr>
      <w:bookmarkStart w:id="97" w:name="_Toc8916"/>
      <w:bookmarkStart w:id="9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97"/>
      <w:bookmarkEnd w:id="98"/>
    </w:p>
    <w:p>
      <w:pPr>
        <w:pStyle w:val="3"/>
        <w:rPr>
          <w:rFonts w:ascii="仿宋" w:hAnsi="仿宋" w:eastAsia="仿宋"/>
          <w:color w:val="000000"/>
        </w:rPr>
      </w:pPr>
      <w:bookmarkStart w:id="99" w:name="_Toc24574"/>
      <w:bookmarkStart w:id="10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99"/>
      <w:bookmarkEnd w:id="100"/>
    </w:p>
    <w:p>
      <w:pPr>
        <w:pStyle w:val="3"/>
        <w:rPr>
          <w:rFonts w:ascii="仿宋" w:hAnsi="仿宋" w:eastAsia="仿宋"/>
          <w:color w:val="000000"/>
        </w:rPr>
      </w:pPr>
      <w:bookmarkStart w:id="101" w:name="_Toc15396628"/>
      <w:bookmarkStart w:id="102" w:name="_Toc3377"/>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101"/>
      <w:bookmarkEnd w:id="102"/>
    </w:p>
    <w:p>
      <w:pPr>
        <w:pStyle w:val="3"/>
        <w:rPr>
          <w:rFonts w:ascii="仿宋" w:hAnsi="仿宋" w:eastAsia="仿宋"/>
          <w:color w:val="000000"/>
        </w:rPr>
      </w:pPr>
      <w:bookmarkStart w:id="103" w:name="_Toc25459"/>
      <w:bookmarkStart w:id="104"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103"/>
      <w:bookmarkEnd w:id="104"/>
    </w:p>
    <w:p>
      <w:pPr>
        <w:pStyle w:val="3"/>
        <w:rPr>
          <w:rFonts w:ascii="仿宋" w:hAnsi="仿宋" w:eastAsia="仿宋"/>
          <w:color w:val="000000"/>
        </w:rPr>
      </w:pPr>
      <w:bookmarkStart w:id="105" w:name="_Toc15396630"/>
      <w:bookmarkStart w:id="106" w:name="_Toc25423"/>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105"/>
      <w:bookmarkEnd w:id="106"/>
    </w:p>
    <w:p>
      <w:pPr>
        <w:pStyle w:val="3"/>
        <w:rPr>
          <w:rStyle w:val="25"/>
          <w:rFonts w:hint="eastAsia" w:ascii="仿宋" w:hAnsi="仿宋" w:eastAsia="仿宋"/>
          <w:b w:val="0"/>
          <w:bCs w:val="0"/>
        </w:rPr>
      </w:pPr>
      <w:bookmarkStart w:id="107" w:name="_Toc18239"/>
      <w:bookmarkStart w:id="108" w:name="_Toc15396631"/>
      <w:r>
        <w:rPr>
          <w:rStyle w:val="25"/>
          <w:rFonts w:hint="eastAsia" w:ascii="仿宋" w:hAnsi="仿宋" w:eastAsia="仿宋"/>
          <w:b w:val="0"/>
          <w:bCs w:val="0"/>
        </w:rPr>
        <w:t>十三、</w:t>
      </w:r>
      <w:bookmarkEnd w:id="107"/>
      <w:bookmarkEnd w:id="108"/>
      <w:r>
        <w:rPr>
          <w:rStyle w:val="25"/>
          <w:rFonts w:hint="eastAsia" w:ascii="仿宋" w:hAnsi="仿宋" w:eastAsia="仿宋"/>
          <w:b w:val="0"/>
          <w:bCs w:val="0"/>
        </w:rPr>
        <w:t>国有资本经营预算</w:t>
      </w:r>
      <w:r>
        <w:rPr>
          <w:rStyle w:val="25"/>
          <w:rFonts w:hint="eastAsia" w:ascii="仿宋" w:hAnsi="仿宋" w:eastAsia="仿宋"/>
          <w:b w:val="0"/>
          <w:bCs w:val="0"/>
          <w:lang w:val="en-US" w:eastAsia="zh-CN"/>
        </w:rPr>
        <w:t>财政拨款收入</w:t>
      </w:r>
      <w:r>
        <w:rPr>
          <w:rStyle w:val="25"/>
          <w:rFonts w:hint="eastAsia" w:ascii="仿宋" w:hAnsi="仿宋" w:eastAsia="仿宋"/>
          <w:b w:val="0"/>
          <w:bCs w:val="0"/>
        </w:rPr>
        <w:t>支出决算表</w:t>
      </w:r>
    </w:p>
    <w:p>
      <w:pPr>
        <w:pStyle w:val="3"/>
        <w:rPr>
          <w:rStyle w:val="25"/>
          <w:rFonts w:hint="eastAsia" w:ascii="仿宋" w:hAnsi="仿宋" w:eastAsia="仿宋"/>
          <w:b w:val="0"/>
          <w:bCs w:val="0"/>
          <w:lang w:val="en-US" w:eastAsia="zh-CN"/>
        </w:rPr>
      </w:pPr>
      <w:r>
        <w:rPr>
          <w:rStyle w:val="25"/>
          <w:rFonts w:hint="eastAsia" w:ascii="仿宋" w:hAnsi="仿宋" w:eastAsia="仿宋"/>
          <w:b w:val="0"/>
          <w:bCs w:val="0"/>
          <w:lang w:val="en-US" w:eastAsia="zh-CN"/>
        </w:rPr>
        <w:t>十四、</w:t>
      </w:r>
      <w:r>
        <w:rPr>
          <w:rStyle w:val="25"/>
          <w:rFonts w:hint="eastAsia" w:ascii="仿宋" w:hAnsi="仿宋" w:eastAsia="仿宋"/>
          <w:b w:val="0"/>
          <w:bCs w:val="0"/>
        </w:rPr>
        <w:t>国有资本经营预算</w:t>
      </w:r>
      <w:r>
        <w:rPr>
          <w:rStyle w:val="25"/>
          <w:rFonts w:hint="eastAsia" w:ascii="仿宋" w:hAnsi="仿宋" w:eastAsia="仿宋"/>
          <w:b w:val="0"/>
          <w:bCs w:val="0"/>
          <w:lang w:val="en-US" w:eastAsia="zh-CN"/>
        </w:rPr>
        <w:t>财政拨款</w:t>
      </w:r>
      <w:r>
        <w:rPr>
          <w:rStyle w:val="25"/>
          <w:rFonts w:hint="eastAsia" w:ascii="仿宋" w:hAnsi="仿宋" w:eastAsia="仿宋"/>
          <w:b w:val="0"/>
          <w:bCs w:val="0"/>
        </w:rPr>
        <w:t>支出决算表</w:t>
      </w:r>
    </w:p>
    <w:sectPr>
      <w:footerReference r:id="rId8" w:type="first"/>
      <w:footerReference r:id="rId7"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PGothic">
    <w:altName w:val="宋体"/>
    <w:panose1 w:val="020B0600070205080204"/>
    <w:charset w:val="80"/>
    <w:family w:val="swiss"/>
    <w:pitch w:val="default"/>
    <w:sig w:usb0="00000000" w:usb1="00000000" w:usb2="08000012" w:usb3="00000000" w:csb0="4002009F" w:csb1="DFD70000"/>
  </w:font>
  <w:font w:name="Dotum">
    <w:altName w:val="宋体"/>
    <w:panose1 w:val="020B0600000101010101"/>
    <w:charset w:val="81"/>
    <w:family w:val="swiss"/>
    <w:pitch w:val="default"/>
    <w:sig w:usb0="00000000" w:usb1="00000000" w:usb2="00000030" w:usb3="00000000" w:csb0="4008009F" w:csb1="DFD7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EB7EB"/>
    <w:multiLevelType w:val="singleLevel"/>
    <w:tmpl w:val="B7FEB7EB"/>
    <w:lvl w:ilvl="0" w:tentative="0">
      <w:start w:val="3"/>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6619"/>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F37A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179F5"/>
    <w:rsid w:val="00D20620"/>
    <w:rsid w:val="00D2207C"/>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DF7548"/>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B10312"/>
    <w:rsid w:val="0C881A2E"/>
    <w:rsid w:val="0E6A5CD1"/>
    <w:rsid w:val="0F2630DE"/>
    <w:rsid w:val="0FC40319"/>
    <w:rsid w:val="10C055FF"/>
    <w:rsid w:val="16BB723D"/>
    <w:rsid w:val="22A00F5C"/>
    <w:rsid w:val="240371BF"/>
    <w:rsid w:val="286C6181"/>
    <w:rsid w:val="29FD04D3"/>
    <w:rsid w:val="2C0F59A0"/>
    <w:rsid w:val="2EBC1944"/>
    <w:rsid w:val="319F7F4E"/>
    <w:rsid w:val="35AF1836"/>
    <w:rsid w:val="3A1A1E13"/>
    <w:rsid w:val="3C720F65"/>
    <w:rsid w:val="3F002B99"/>
    <w:rsid w:val="404A460F"/>
    <w:rsid w:val="42017DA5"/>
    <w:rsid w:val="48CE0DDB"/>
    <w:rsid w:val="49584E15"/>
    <w:rsid w:val="4A032FF2"/>
    <w:rsid w:val="4AA770D1"/>
    <w:rsid w:val="4D7F6182"/>
    <w:rsid w:val="4ECE2238"/>
    <w:rsid w:val="50C76582"/>
    <w:rsid w:val="53255B72"/>
    <w:rsid w:val="532E79A1"/>
    <w:rsid w:val="5ACE6B48"/>
    <w:rsid w:val="5C9E733D"/>
    <w:rsid w:val="5E8A78C8"/>
    <w:rsid w:val="6D542F65"/>
    <w:rsid w:val="6D863AA1"/>
    <w:rsid w:val="6E853628"/>
    <w:rsid w:val="6F7F7BAD"/>
    <w:rsid w:val="7187086D"/>
    <w:rsid w:val="72494A31"/>
    <w:rsid w:val="72734D90"/>
    <w:rsid w:val="7D9768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2"/>
    <w:qFormat/>
    <w:uiPriority w:val="9"/>
    <w:rPr>
      <w:rFonts w:ascii="Times New Roman" w:hAnsi="Times New Roman"/>
      <w:b/>
      <w:bCs/>
      <w:kern w:val="44"/>
      <w:sz w:val="44"/>
      <w:szCs w:val="44"/>
    </w:rPr>
  </w:style>
  <w:style w:type="character" w:customStyle="1" w:styleId="25">
    <w:name w:val="标题 2 字符"/>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默认段落字体1"/>
    <w:qFormat/>
    <w:uiPriority w:val="99"/>
    <w:rPr>
      <w:sz w:val="22"/>
    </w:rPr>
  </w:style>
  <w:style w:type="paragraph" w:customStyle="1" w:styleId="31">
    <w:name w:val="四号正文"/>
    <w:basedOn w:val="1"/>
    <w:qFormat/>
    <w:uiPriority w:val="0"/>
    <w:pPr>
      <w:spacing w:line="360" w:lineRule="auto"/>
    </w:pPr>
    <w:rPr>
      <w:rFonts w:ascii="??" w:hAnsi="??" w:eastAsia="宋体"/>
      <w:color w:val="000000"/>
      <w:kern w:val="0"/>
      <w:sz w:val="28"/>
      <w:szCs w:val="21"/>
      <w:lang w:val="zh-CN"/>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 w:type="paragraph" w:customStyle="1" w:styleId="33">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2019年</c:v>
                </c:pt>
              </c:strCache>
            </c:strRef>
          </c:tx>
          <c:spPr>
            <a:solidFill>
              <a:schemeClr val="accent1"/>
            </a:solidFill>
            <a:ln>
              <a:noFill/>
            </a:ln>
            <a:effectLst/>
          </c:spPr>
          <c:invertIfNegative val="false"/>
          <c:dLbls>
            <c:delete val="true"/>
          </c:dLbls>
          <c:cat>
            <c:strRef>
              <c:f>Sheet1!$A$2</c:f>
              <c:strCache>
                <c:ptCount val="1"/>
                <c:pt idx="0">
                  <c:v>收、支总计</c:v>
                </c:pt>
              </c:strCache>
            </c:strRef>
          </c:cat>
          <c:val>
            <c:numRef>
              <c:f>Sheet1!$B$2</c:f>
              <c:numCache>
                <c:formatCode>General</c:formatCode>
                <c:ptCount val="1"/>
                <c:pt idx="0">
                  <c:v>1444.2</c:v>
                </c:pt>
              </c:numCache>
            </c:numRef>
          </c:val>
        </c:ser>
        <c:ser>
          <c:idx val="1"/>
          <c:order val="1"/>
          <c:tx>
            <c:strRef>
              <c:f>Sheet1!$C$1</c:f>
              <c:strCache>
                <c:ptCount val="1"/>
                <c:pt idx="0">
                  <c:v>2020年</c:v>
                </c:pt>
              </c:strCache>
            </c:strRef>
          </c:tx>
          <c:spPr>
            <a:solidFill>
              <a:schemeClr val="accent2"/>
            </a:solidFill>
            <a:ln>
              <a:noFill/>
            </a:ln>
            <a:effectLst/>
          </c:spPr>
          <c:invertIfNegative val="false"/>
          <c:dLbls>
            <c:delete val="true"/>
          </c:dLbls>
          <c:cat>
            <c:strRef>
              <c:f>Sheet1!$A$2</c:f>
              <c:strCache>
                <c:ptCount val="1"/>
                <c:pt idx="0">
                  <c:v>收、支总计</c:v>
                </c:pt>
              </c:strCache>
            </c:strRef>
          </c:cat>
          <c:val>
            <c:numRef>
              <c:f>Sheet1!$C$2</c:f>
              <c:numCache>
                <c:formatCode>General</c:formatCode>
                <c:ptCount val="1"/>
                <c:pt idx="0">
                  <c:v>1458.97</c:v>
                </c:pt>
              </c:numCache>
            </c:numRef>
          </c:val>
        </c:ser>
        <c:dLbls>
          <c:showLegendKey val="false"/>
          <c:showVal val="false"/>
          <c:showCatName val="false"/>
          <c:showSerName val="false"/>
          <c:showPercent val="false"/>
          <c:showBubbleSize val="false"/>
        </c:dLbls>
        <c:gapWidth val="219"/>
        <c:overlap val="-27"/>
        <c:axId val="383021142"/>
        <c:axId val="400144998"/>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
                        </c15:fullRef>
                        <c15:formulaRef>
                          <c15:sqref>Sheet1!$A$2</c15:sqref>
                        </c15:formulaRef>
                      </c:ext>
                    </c:extLst>
                    <c:strCache>
                      <c:ptCount val="1"/>
                      <c:pt idx="0">
                        <c:v>收、支总计</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8302114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0144998"/>
        <c:crosses val="autoZero"/>
        <c:auto val="true"/>
        <c:lblAlgn val="ctr"/>
        <c:lblOffset val="100"/>
        <c:noMultiLvlLbl val="false"/>
      </c:catAx>
      <c:valAx>
        <c:axId val="40014499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302114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0289017341041"/>
          <c:y val="0.116564417177914"/>
          <c:w val="0.367052023121387"/>
          <c:h val="0.779141104294479"/>
        </c:manualLayout>
      </c:layout>
      <c:pieChart>
        <c:varyColors val="true"/>
        <c:ser>
          <c:idx val="0"/>
          <c:order val="0"/>
          <c:tx>
            <c:strRef>
              <c:f>Sheet1!$A$2</c:f>
              <c:strCache>
                <c:ptCount val="1"/>
                <c:pt idx="0">
                  <c:v/>
                </c:pt>
              </c:strCache>
            </c:strRef>
          </c:tx>
          <c:spPr>
            <a:solidFill>
              <a:srgbClr val="9999FF"/>
            </a:solidFill>
            <a:ln w="12629">
              <a:solidFill>
                <a:srgbClr val="000000"/>
              </a:solidFill>
              <a:prstDash val="solid"/>
            </a:ln>
          </c:spPr>
          <c:explosion val="0"/>
          <c:dPt>
            <c:idx val="0"/>
            <c:bubble3D val="false"/>
            <c:spPr>
              <a:solidFill>
                <a:srgbClr val="9999FF"/>
              </a:solidFill>
              <a:ln w="12629">
                <a:solidFill>
                  <a:srgbClr val="000000"/>
                </a:solidFill>
                <a:prstDash val="solid"/>
              </a:ln>
            </c:spPr>
          </c:dPt>
          <c:dLbls>
            <c:delete val="true"/>
          </c:dLbls>
          <c:cat>
            <c:strRef>
              <c:f>Sheet1!$B$1</c:f>
              <c:strCache>
                <c:ptCount val="1"/>
                <c:pt idx="0">
                  <c:v>一般公共预算财政拨款收入</c:v>
                </c:pt>
              </c:strCache>
            </c:strRef>
          </c:cat>
          <c:val>
            <c:numRef>
              <c:f>Sheet1!$B$2</c:f>
              <c:numCache>
                <c:formatCode>0.00%</c:formatCode>
                <c:ptCount val="1"/>
                <c:pt idx="0">
                  <c:v>1</c:v>
                </c:pt>
              </c:numCache>
            </c:numRef>
          </c:val>
        </c:ser>
        <c:ser>
          <c:idx val="1"/>
          <c:order val="1"/>
          <c:tx>
            <c:strRef>
              <c:f>Sheet1!$A$3</c:f>
              <c:strCache>
                <c:ptCount val="1"/>
                <c:pt idx="0">
                  <c:v/>
                </c:pt>
              </c:strCache>
            </c:strRef>
          </c:tx>
          <c:spPr>
            <a:solidFill>
              <a:srgbClr val="993366"/>
            </a:solidFill>
            <a:ln w="12629">
              <a:solidFill>
                <a:srgbClr val="000000"/>
              </a:solidFill>
              <a:prstDash val="solid"/>
            </a:ln>
          </c:spPr>
          <c:explosion val="0"/>
          <c:dPt>
            <c:idx val="0"/>
            <c:bubble3D val="false"/>
            <c:spPr>
              <a:solidFill>
                <a:srgbClr val="9999FF"/>
              </a:solidFill>
              <a:ln w="12629">
                <a:solidFill>
                  <a:srgbClr val="000000"/>
                </a:solidFill>
                <a:prstDash val="solid"/>
              </a:ln>
            </c:spPr>
          </c:dPt>
          <c:dLbls>
            <c:delete val="true"/>
          </c:dLbls>
          <c:cat>
            <c:strRef>
              <c:f>Sheet1!$B$1</c:f>
              <c:strCache>
                <c:ptCount val="1"/>
                <c:pt idx="0">
                  <c:v>一般公共预算财政拨款收入</c:v>
                </c:pt>
              </c:strCache>
            </c:strRef>
          </c:cat>
          <c:val>
            <c:numRef>
              <c:f>Sheet1!$B$3</c:f>
              <c:numCache>
                <c:formatCode>General</c:formatCode>
                <c:ptCount val="1"/>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12629">
          <a:solidFill>
            <a:srgbClr val="808080"/>
          </a:solidFill>
          <a:prstDash val="solid"/>
        </a:ln>
      </c:spPr>
    </c:plotArea>
    <c:legend>
      <c:legendPos val="r"/>
      <c:layout>
        <c:manualLayout>
          <c:xMode val="edge"/>
          <c:yMode val="edge"/>
          <c:x val="0.667630057803469"/>
          <c:y val="0.294478527607362"/>
          <c:w val="0.320809248554913"/>
          <c:h val="0.411042944785276"/>
        </c:manualLayout>
      </c:layout>
      <c:overlay val="false"/>
      <c:spPr>
        <a:noFill/>
        <a:ln w="3157">
          <a:solidFill>
            <a:srgbClr val="000000"/>
          </a:solidFill>
          <a:prstDash val="solid"/>
        </a:ln>
      </c:spPr>
      <c:txPr>
        <a:bodyPr rot="0" spcFirstLastPara="0" vertOverflow="ellipsis" vert="horz" wrap="square" anchor="ctr" anchorCtr="true"/>
        <a:lstStyle/>
        <a:p>
          <a:pPr>
            <a:defRPr lang="zh-CN" sz="91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true"/>
    <c:dispBlanksAs val="zero"/>
    <c:showDLblsOverMax val="false"/>
  </c:chart>
  <c:spPr>
    <a:noFill/>
    <a:ln w="9525" cap="flat" cmpd="sng" algn="ctr">
      <a:noFill/>
      <a:prstDash val="solid"/>
      <a:round/>
    </a:ln>
  </c:spPr>
  <c:txPr>
    <a:bodyPr/>
    <a:lstStyle/>
    <a:p>
      <a:pPr>
        <a:defRPr lang="zh-CN" sz="79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5107913669065"/>
          <c:y val="0.115384615384615"/>
          <c:w val="0.510791366906475"/>
          <c:h val="0.78021978021978"/>
        </c:manualLayout>
      </c:layout>
      <c:pieChart>
        <c:varyColors val="true"/>
        <c:ser>
          <c:idx val="0"/>
          <c:order val="0"/>
          <c:tx>
            <c:strRef>
              <c:f>Sheet1!$A$2</c:f>
              <c:strCache>
                <c:ptCount val="1"/>
                <c:pt idx="0">
                  <c:v>东部</c:v>
                </c:pt>
              </c:strCache>
            </c:strRef>
          </c:tx>
          <c:spPr>
            <a:solidFill>
              <a:srgbClr val="9999FF"/>
            </a:solidFill>
            <a:ln w="12700">
              <a:solidFill>
                <a:srgbClr val="000000"/>
              </a:solidFill>
              <a:prstDash val="solid"/>
            </a:ln>
          </c:spPr>
          <c:explosion val="0"/>
          <c:dPt>
            <c:idx val="0"/>
            <c:bubble3D val="false"/>
            <c:spPr>
              <a:solidFill>
                <a:srgbClr val="9999FF"/>
              </a:solidFill>
              <a:ln w="12700">
                <a:solidFill>
                  <a:srgbClr val="000000"/>
                </a:solidFill>
                <a:prstDash val="solid"/>
              </a:ln>
            </c:spPr>
          </c:dPt>
          <c:dPt>
            <c:idx val="1"/>
            <c:bubble3D val="false"/>
            <c:spPr>
              <a:solidFill>
                <a:srgbClr val="993366"/>
              </a:solidFill>
              <a:ln w="12700">
                <a:solidFill>
                  <a:srgbClr val="000000"/>
                </a:solidFill>
                <a:prstDash val="solid"/>
              </a:ln>
            </c:spPr>
          </c:dPt>
          <c:dLbls>
            <c:delete val="true"/>
          </c:dLbls>
          <c:cat>
            <c:strRef>
              <c:f>Sheet1!$B$1:$C$1</c:f>
              <c:strCache>
                <c:ptCount val="2"/>
                <c:pt idx="0">
                  <c:v>基本支出</c:v>
                </c:pt>
                <c:pt idx="1">
                  <c:v>项目支出</c:v>
                </c:pt>
              </c:strCache>
            </c:strRef>
          </c:cat>
          <c:val>
            <c:numRef>
              <c:f>Sheet1!$B$2:$C$2</c:f>
              <c:numCache>
                <c:formatCode>General</c:formatCode>
                <c:ptCount val="2"/>
                <c:pt idx="0">
                  <c:v>64.8</c:v>
                </c:pt>
                <c:pt idx="1">
                  <c:v>35.2</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12700">
          <a:solidFill>
            <a:srgbClr val="808080"/>
          </a:solidFill>
          <a:prstDash val="solid"/>
        </a:ln>
      </c:spPr>
    </c:plotArea>
    <c:legend>
      <c:legendPos val="r"/>
      <c:layout>
        <c:manualLayout>
          <c:xMode val="edge"/>
          <c:yMode val="edge"/>
          <c:x val="0.741007194244605"/>
          <c:y val="0.406593406593407"/>
          <c:w val="0.244604316546763"/>
          <c:h val="0.192307692307692"/>
        </c:manualLayout>
      </c:layout>
      <c:overlay val="false"/>
      <c:spPr>
        <a:noFill/>
        <a:ln w="3175">
          <a:solidFill>
            <a:srgbClr val="000000"/>
          </a:solidFill>
          <a:prstDash val="solid"/>
        </a:ln>
      </c:spPr>
      <c:txPr>
        <a:bodyPr rot="0" spcFirstLastPara="0" vertOverflow="ellipsis" vert="horz" wrap="square" anchor="ctr" anchorCtr="true"/>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true"/>
    <c:dispBlanksAs val="zero"/>
    <c:showDLblsOverMax val="false"/>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2019年</c:v>
                </c:pt>
              </c:strCache>
            </c:strRef>
          </c:tx>
          <c:spPr>
            <a:solidFill>
              <a:schemeClr val="accent1"/>
            </a:solidFill>
            <a:ln>
              <a:noFill/>
            </a:ln>
            <a:effectLst/>
          </c:spPr>
          <c:invertIfNegative val="false"/>
          <c:dLbls>
            <c:delete val="true"/>
          </c:dLbls>
          <c:cat>
            <c:strRef>
              <c:f>Sheet1!$A$2</c:f>
              <c:strCache>
                <c:ptCount val="1"/>
                <c:pt idx="0">
                  <c:v>财政拨款收、支总计</c:v>
                </c:pt>
              </c:strCache>
            </c:strRef>
          </c:cat>
          <c:val>
            <c:numRef>
              <c:f>Sheet1!$B$2</c:f>
              <c:numCache>
                <c:formatCode>General</c:formatCode>
                <c:ptCount val="1"/>
                <c:pt idx="0">
                  <c:v>1444.21</c:v>
                </c:pt>
              </c:numCache>
            </c:numRef>
          </c:val>
        </c:ser>
        <c:ser>
          <c:idx val="1"/>
          <c:order val="1"/>
          <c:tx>
            <c:strRef>
              <c:f>Sheet1!$C$1</c:f>
              <c:strCache>
                <c:ptCount val="1"/>
                <c:pt idx="0">
                  <c:v>2020年</c:v>
                </c:pt>
              </c:strCache>
            </c:strRef>
          </c:tx>
          <c:spPr>
            <a:solidFill>
              <a:schemeClr val="accent2"/>
            </a:solidFill>
            <a:ln>
              <a:noFill/>
            </a:ln>
            <a:effectLst/>
          </c:spPr>
          <c:invertIfNegative val="false"/>
          <c:dLbls>
            <c:delete val="true"/>
          </c:dLbls>
          <c:cat>
            <c:strRef>
              <c:f>Sheet1!$A$2</c:f>
              <c:strCache>
                <c:ptCount val="1"/>
                <c:pt idx="0">
                  <c:v>财政拨款收、支总计</c:v>
                </c:pt>
              </c:strCache>
            </c:strRef>
          </c:cat>
          <c:val>
            <c:numRef>
              <c:f>Sheet1!$C$2</c:f>
              <c:numCache>
                <c:formatCode>General</c:formatCode>
                <c:ptCount val="1"/>
                <c:pt idx="0">
                  <c:v>1458.97</c:v>
                </c:pt>
              </c:numCache>
            </c:numRef>
          </c:val>
        </c:ser>
        <c:dLbls>
          <c:showLegendKey val="false"/>
          <c:showVal val="false"/>
          <c:showCatName val="false"/>
          <c:showSerName val="false"/>
          <c:showPercent val="false"/>
          <c:showBubbleSize val="false"/>
        </c:dLbls>
        <c:gapWidth val="219"/>
        <c:overlap val="-27"/>
        <c:axId val="383021142"/>
        <c:axId val="400144998"/>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
                        </c15:fullRef>
                        <c15:formulaRef>
                          <c15:sqref>Sheet1!$A$2</c15:sqref>
                        </c15:formulaRef>
                      </c:ext>
                    </c:extLst>
                    <c:strCache>
                      <c:ptCount val="1"/>
                      <c:pt idx="0">
                        <c:v>财政拨款收、支总计</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8302114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0144998"/>
        <c:crosses val="autoZero"/>
        <c:auto val="true"/>
        <c:lblAlgn val="ctr"/>
        <c:lblOffset val="100"/>
        <c:noMultiLvlLbl val="false"/>
      </c:catAx>
      <c:valAx>
        <c:axId val="40014499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302114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2019年</c:v>
                </c:pt>
              </c:strCache>
            </c:strRef>
          </c:tx>
          <c:spPr>
            <a:solidFill>
              <a:schemeClr val="accent1"/>
            </a:solidFill>
            <a:ln>
              <a:noFill/>
            </a:ln>
            <a:effectLst/>
          </c:spPr>
          <c:invertIfNegative val="false"/>
          <c:dLbls>
            <c:delete val="true"/>
          </c:dLbls>
          <c:cat>
            <c:strRef>
              <c:f>Sheet1!$A$2</c:f>
              <c:strCache>
                <c:ptCount val="1"/>
                <c:pt idx="0">
                  <c:v>一般公共预算财政拨款支出</c:v>
                </c:pt>
              </c:strCache>
            </c:strRef>
          </c:cat>
          <c:val>
            <c:numRef>
              <c:f>Sheet1!$B$2</c:f>
              <c:numCache>
                <c:formatCode>General</c:formatCode>
                <c:ptCount val="1"/>
                <c:pt idx="0">
                  <c:v>1295.21</c:v>
                </c:pt>
              </c:numCache>
            </c:numRef>
          </c:val>
        </c:ser>
        <c:ser>
          <c:idx val="1"/>
          <c:order val="1"/>
          <c:tx>
            <c:strRef>
              <c:f>Sheet1!$C$1</c:f>
              <c:strCache>
                <c:ptCount val="1"/>
                <c:pt idx="0">
                  <c:v>2020年</c:v>
                </c:pt>
              </c:strCache>
            </c:strRef>
          </c:tx>
          <c:spPr>
            <a:solidFill>
              <a:schemeClr val="accent2"/>
            </a:solidFill>
            <a:ln>
              <a:noFill/>
            </a:ln>
            <a:effectLst/>
          </c:spPr>
          <c:invertIfNegative val="false"/>
          <c:dLbls>
            <c:delete val="true"/>
          </c:dLbls>
          <c:cat>
            <c:strRef>
              <c:f>Sheet1!$A$2</c:f>
              <c:strCache>
                <c:ptCount val="1"/>
                <c:pt idx="0">
                  <c:v>一般公共预算财政拨款支出</c:v>
                </c:pt>
              </c:strCache>
            </c:strRef>
          </c:cat>
          <c:val>
            <c:numRef>
              <c:f>Sheet1!$C$2</c:f>
              <c:numCache>
                <c:formatCode>General</c:formatCode>
                <c:ptCount val="1"/>
                <c:pt idx="0">
                  <c:v>1148.81</c:v>
                </c:pt>
              </c:numCache>
            </c:numRef>
          </c:val>
        </c:ser>
        <c:dLbls>
          <c:showLegendKey val="false"/>
          <c:showVal val="false"/>
          <c:showCatName val="false"/>
          <c:showSerName val="false"/>
          <c:showPercent val="false"/>
          <c:showBubbleSize val="false"/>
        </c:dLbls>
        <c:gapWidth val="219"/>
        <c:overlap val="-27"/>
        <c:axId val="383021142"/>
        <c:axId val="400144998"/>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
                        </c15:fullRef>
                        <c15:formulaRef>
                          <c15:sqref>Sheet1!$A$2</c15:sqref>
                        </c15:formulaRef>
                      </c:ext>
                    </c:extLst>
                    <c:strCache>
                      <c:ptCount val="1"/>
                      <c:pt idx="0">
                        <c:v>一般公共预算财政拨款支出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8302114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0144998"/>
        <c:crosses val="autoZero"/>
        <c:auto val="true"/>
        <c:lblAlgn val="ctr"/>
        <c:lblOffset val="100"/>
        <c:noMultiLvlLbl val="false"/>
      </c:catAx>
      <c:valAx>
        <c:axId val="40014499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302114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5107913669065"/>
          <c:y val="0.115384615384615"/>
          <c:w val="0.510791366906475"/>
          <c:h val="0.78021978021978"/>
        </c:manualLayout>
      </c:layout>
      <c:pieChart>
        <c:varyColors val="true"/>
        <c:ser>
          <c:idx val="0"/>
          <c:order val="0"/>
          <c:tx>
            <c:strRef>
              <c:f>Sheet1!$A$2</c:f>
              <c:strCache>
                <c:ptCount val="1"/>
                <c:pt idx="0">
                  <c:v>东部</c:v>
                </c:pt>
              </c:strCache>
            </c:strRef>
          </c:tx>
          <c:spPr/>
          <c:explosion val="0"/>
          <c:dPt>
            <c:idx val="0"/>
            <c:bubble3D val="false"/>
            <c:explosion val="0"/>
            <c:spPr>
              <a:solidFill>
                <a:schemeClr val="accent1"/>
              </a:solidFill>
              <a:ln>
                <a:noFill/>
              </a:ln>
              <a:effectLst/>
            </c:spPr>
          </c:dPt>
          <c:dPt>
            <c:idx val="1"/>
            <c:bubble3D val="false"/>
            <c:spPr>
              <a:solidFill>
                <a:schemeClr val="accent2"/>
              </a:solidFill>
              <a:ln>
                <a:noFill/>
              </a:ln>
              <a:effectLst/>
            </c:spPr>
          </c:dPt>
          <c:dPt>
            <c:idx val="2"/>
            <c:bubble3D val="false"/>
            <c:spPr>
              <a:solidFill>
                <a:schemeClr val="accent3"/>
              </a:solidFill>
              <a:ln>
                <a:noFill/>
              </a:ln>
              <a:effectLst/>
            </c:spPr>
          </c:dPt>
          <c:dPt>
            <c:idx val="3"/>
            <c:bubble3D val="false"/>
            <c:spPr>
              <a:solidFill>
                <a:schemeClr val="accent4"/>
              </a:solidFill>
              <a:ln>
                <a:noFill/>
              </a:ln>
              <a:effectLst/>
            </c:spPr>
          </c:dPt>
          <c:dLbls>
            <c:delete val="true"/>
          </c:dLbls>
          <c:cat>
            <c:strRef>
              <c:f>Sheet1!$B$1:$E$1</c:f>
              <c:strCache>
                <c:ptCount val="4"/>
                <c:pt idx="0">
                  <c:v>城乡社区支出</c:v>
                </c:pt>
                <c:pt idx="1">
                  <c:v>社会保障和就业支出</c:v>
                </c:pt>
                <c:pt idx="2">
                  <c:v>卫生健康支出</c:v>
                </c:pt>
                <c:pt idx="3">
                  <c:v>住房保障支出</c:v>
                </c:pt>
              </c:strCache>
            </c:strRef>
          </c:cat>
          <c:val>
            <c:numRef>
              <c:f>Sheet1!$B$2:$E$2</c:f>
              <c:numCache>
                <c:formatCode>General</c:formatCode>
                <c:ptCount val="4"/>
                <c:pt idx="0">
                  <c:v>86.45</c:v>
                </c:pt>
                <c:pt idx="1">
                  <c:v>6.24</c:v>
                </c:pt>
                <c:pt idx="2">
                  <c:v>3.11</c:v>
                </c:pt>
                <c:pt idx="3">
                  <c:v>4.2</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12700">
          <a:solidFill>
            <a:srgbClr val="808080"/>
          </a:solidFill>
          <a:prstDash val="solid"/>
        </a:ln>
        <a:effectLst/>
      </c:spPr>
    </c:plotArea>
    <c:legend>
      <c:legendPos val="r"/>
      <c:layout>
        <c:manualLayout>
          <c:xMode val="edge"/>
          <c:yMode val="edge"/>
          <c:x val="0.741054414567012"/>
          <c:y val="0.0656819610307982"/>
          <c:w val="0.244547956807114"/>
          <c:h val="0.92394720301697"/>
        </c:manualLayout>
      </c:layout>
      <c:overlay val="false"/>
      <c:spPr>
        <a:noFill/>
        <a:ln w="3175">
          <a:solidFill>
            <a:srgbClr val="000000"/>
          </a:solidFill>
          <a:prstDash val="solid"/>
        </a:ln>
        <a:effectLst/>
      </c:spPr>
      <c:txPr>
        <a:bodyPr rot="0" spcFirstLastPara="0" vertOverflow="ellipsis" vert="horz" wrap="square" anchor="ctr" anchorCtr="true"/>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true"/>
    <c:dispBlanksAs val="zero"/>
    <c:showDLblsOverMax val="false"/>
  </c:chart>
  <c:spPr>
    <a:noFill/>
    <a:ln w="9525" cap="flat" cmpd="sng" algn="ctr">
      <a:noFill/>
      <a:prstDash val="solid"/>
      <a:round/>
    </a:ln>
    <a:effectLst/>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55395683453238"/>
          <c:y val="0.115384615384615"/>
          <c:w val="0.507194244604317"/>
          <c:h val="0.774725274725276"/>
        </c:manualLayout>
      </c:layout>
      <c:pieChart>
        <c:varyColors val="true"/>
        <c:ser>
          <c:idx val="0"/>
          <c:order val="0"/>
          <c:tx>
            <c:strRef>
              <c:f>Sheet1!$A$2</c:f>
              <c:strCache>
                <c:ptCount val="1"/>
                <c:pt idx="0">
                  <c:v/>
                </c:pt>
              </c:strCache>
            </c:strRef>
          </c:tx>
          <c:spPr>
            <a:solidFill>
              <a:srgbClr val="9999FF"/>
            </a:solidFill>
            <a:ln w="12612">
              <a:solidFill>
                <a:srgbClr val="000000"/>
              </a:solidFill>
              <a:prstDash val="solid"/>
            </a:ln>
          </c:spPr>
          <c:explosion val="0"/>
          <c:dPt>
            <c:idx val="0"/>
            <c:bubble3D val="false"/>
            <c:spPr>
              <a:solidFill>
                <a:srgbClr val="9999FF"/>
              </a:solidFill>
              <a:ln w="12612">
                <a:solidFill>
                  <a:srgbClr val="000000"/>
                </a:solidFill>
                <a:prstDash val="solid"/>
              </a:ln>
            </c:spPr>
          </c:dPt>
          <c:dLbls>
            <c:delete val="true"/>
          </c:dLbls>
          <c:cat>
            <c:strRef>
              <c:f>Sheet1!$B$1</c:f>
              <c:strCache>
                <c:ptCount val="1"/>
                <c:pt idx="0">
                  <c:v>公务用车购置及运行维护费</c:v>
                </c:pt>
              </c:strCache>
            </c:strRef>
          </c:cat>
          <c:val>
            <c:numRef>
              <c:f>Sheet1!$B$2</c:f>
              <c:numCache>
                <c:formatCode>General</c:formatCode>
                <c:ptCount val="1"/>
                <c:pt idx="0">
                  <c:v>100</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12612">
          <a:solidFill>
            <a:srgbClr val="808080"/>
          </a:solidFill>
          <a:prstDash val="solid"/>
        </a:ln>
      </c:spPr>
    </c:plotArea>
    <c:legend>
      <c:legendPos val="r"/>
      <c:layout>
        <c:manualLayout>
          <c:xMode val="edge"/>
          <c:yMode val="edge"/>
          <c:x val="0.654676258992806"/>
          <c:y val="0.324175824175824"/>
          <c:w val="0.330935251798561"/>
          <c:h val="0.346153846153846"/>
        </c:manualLayout>
      </c:layout>
      <c:overlay val="false"/>
      <c:spPr>
        <a:noFill/>
        <a:ln w="3153">
          <a:solidFill>
            <a:srgbClr val="000000"/>
          </a:solidFill>
          <a:prstDash val="solid"/>
        </a:ln>
      </c:spPr>
      <c:txPr>
        <a:bodyPr rot="0" spcFirstLastPara="0" vertOverflow="ellipsis" vert="horz" wrap="square" anchor="ctr" anchorCtr="true"/>
        <a:lstStyle/>
        <a:p>
          <a:pPr>
            <a:defRPr lang="zh-CN" sz="8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true"/>
    <c:dispBlanksAs val="zero"/>
    <c:showDLblsOverMax val="false"/>
  </c:chart>
  <c:spPr>
    <a:noFill/>
    <a:ln w="9525" cap="flat" cmpd="sng" algn="ctr">
      <a:noFill/>
      <a:prstDash val="solid"/>
      <a:round/>
    </a:ln>
  </c:spPr>
  <c:txPr>
    <a:bodyPr/>
    <a:lstStyle/>
    <a:p>
      <a:pPr>
        <a:defRPr lang="zh-CN" sz="89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48</Pages>
  <Words>17740</Words>
  <Characters>19407</Characters>
  <Lines>61</Lines>
  <Paragraphs>17</Paragraphs>
  <TotalTime>5</TotalTime>
  <ScaleCrop>false</ScaleCrop>
  <LinksUpToDate>false</LinksUpToDate>
  <CharactersWithSpaces>19597</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2020-09-22T15:24:00Z</cp:lastPrinted>
  <dcterms:modified xsi:type="dcterms:W3CDTF">2022-05-06T11:28:16Z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A1B5F324A88A4DC984417E99792BC47A</vt:lpwstr>
  </property>
</Properties>
</file>