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eastAsia" w:ascii="方正小标宋简体" w:hAnsi="宋体" w:eastAsia="方正小标宋简体"/>
          <w:color w:val="000000"/>
          <w:sz w:val="72"/>
          <w:szCs w:val="72"/>
        </w:rPr>
      </w:pPr>
      <w:bookmarkStart w:id="1" w:name="_Toc15396475"/>
      <w:bookmarkStart w:id="2" w:name="_Toc15396597"/>
      <w:bookmarkStart w:id="3" w:name="_Toc15378441"/>
      <w:bookmarkStart w:id="4" w:name="_Toc30852"/>
      <w:bookmarkStart w:id="5" w:name="_Toc15377193"/>
      <w:bookmarkStart w:id="6" w:name="_Toc15377425"/>
      <w:r>
        <w:rPr>
          <w:rFonts w:hint="eastAsia" w:ascii="方正小标宋简体" w:hAnsi="宋体" w:eastAsia="方正小标宋简体"/>
          <w:color w:val="000000"/>
          <w:sz w:val="72"/>
          <w:szCs w:val="72"/>
          <w:lang w:val="en-US" w:eastAsia="zh-CN"/>
        </w:rPr>
        <w:t>2020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ascii="方正小标宋简体" w:hAnsi="宋体" w:eastAsia="方正小标宋简体"/>
          <w:color w:val="000000"/>
          <w:sz w:val="72"/>
          <w:szCs w:val="72"/>
        </w:rPr>
      </w:pPr>
      <w:bookmarkStart w:id="7" w:name="_Toc15377426"/>
      <w:bookmarkStart w:id="8" w:name="_Toc15396476"/>
      <w:bookmarkStart w:id="9" w:name="_Toc15396598"/>
      <w:bookmarkStart w:id="10" w:name="_Toc7579"/>
      <w:bookmarkStart w:id="11" w:name="_Toc15377194"/>
      <w:bookmarkStart w:id="12" w:name="_Toc15378442"/>
      <w:r>
        <w:rPr>
          <w:rFonts w:hint="eastAsia" w:ascii="方正小标宋简体" w:hAnsi="宋体" w:eastAsia="方正小标宋简体"/>
          <w:color w:val="000000"/>
          <w:sz w:val="72"/>
          <w:szCs w:val="72"/>
        </w:rPr>
        <w:t>四川省阿坝州</w:t>
      </w:r>
      <w:bookmarkEnd w:id="0"/>
      <w:bookmarkStart w:id="13" w:name="_Toc15306268"/>
      <w:r>
        <w:rPr>
          <w:rFonts w:hint="eastAsia" w:ascii="方正小标宋简体" w:hAnsi="宋体" w:eastAsia="方正小标宋简体"/>
          <w:color w:val="000000"/>
          <w:sz w:val="72"/>
          <w:szCs w:val="72"/>
          <w:lang w:val="en-US" w:eastAsia="zh-CN"/>
        </w:rPr>
        <w:t>城乡环境综合治理服务中心</w:t>
      </w: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pPr>
        <w:widowControl/>
        <w:jc w:val="center"/>
        <w:rPr>
          <w:rFonts w:ascii="方正小标宋简体" w:hAnsi="宋体" w:eastAsia="方正小标宋简体"/>
          <w:color w:val="000000"/>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autoSpaceDE w:val="0"/>
        <w:autoSpaceDN w:val="0"/>
        <w:adjustRightInd w:val="0"/>
        <w:ind w:firstLine="1276"/>
        <w:jc w:val="left"/>
        <w:rPr>
          <w:rFonts w:eastAsia="仿宋_GB2312"/>
          <w:sz w:val="32"/>
          <w:szCs w:val="32"/>
        </w:rPr>
      </w:pPr>
      <w:r>
        <w:rPr>
          <w:rFonts w:hint="eastAsia" w:ascii="仿宋_GB2312" w:hAnsi="Calibri" w:eastAsia="仿宋_GB2312" w:cs="仿宋_GB2312"/>
          <w:sz w:val="32"/>
          <w:szCs w:val="32"/>
        </w:rPr>
        <w:t>保密审查情况：已审查，内容审定</w:t>
      </w:r>
    </w:p>
    <w:p>
      <w:pPr>
        <w:autoSpaceDE w:val="0"/>
        <w:autoSpaceDN w:val="0"/>
        <w:adjustRightInd w:val="0"/>
        <w:ind w:firstLine="1276"/>
        <w:jc w:val="left"/>
        <w:rPr>
          <w:rFonts w:eastAsia="仿宋_GB2312"/>
          <w:sz w:val="32"/>
          <w:szCs w:val="32"/>
        </w:rPr>
      </w:pPr>
      <w:r>
        <w:rPr>
          <w:rFonts w:hint="eastAsia" w:ascii="仿宋_GB2312" w:eastAsia="仿宋_GB2312" w:cs="仿宋_GB2312"/>
          <w:sz w:val="32"/>
          <w:szCs w:val="32"/>
        </w:rPr>
        <w:t>部门主要负责人审签情况：已审签</w:t>
      </w:r>
      <w:r>
        <w:rPr>
          <w:rFonts w:hint="eastAsia" w:ascii="仿宋_GB2312" w:hAnsi="Calibri" w:eastAsia="仿宋_GB2312" w:cs="仿宋_GB2312"/>
          <w:sz w:val="32"/>
          <w:szCs w:val="32"/>
        </w:rPr>
        <w:t>，同意对外公开</w:t>
      </w:r>
    </w:p>
    <w:p>
      <w:pPr>
        <w:widowControl/>
        <w:jc w:val="center"/>
        <w:rPr>
          <w:rFonts w:ascii="方正小标宋简体" w:hAnsi="宋体" w:eastAsia="方正小标宋简体"/>
          <w:sz w:val="36"/>
          <w:szCs w:val="36"/>
        </w:rPr>
      </w:pPr>
    </w:p>
    <w:p>
      <w:pPr>
        <w:widowControl/>
        <w:ind w:firstLine="1280" w:firstLineChars="400"/>
        <w:jc w:val="both"/>
        <w:rPr>
          <w:rFonts w:hint="eastAsia" w:ascii="仿宋_GB2312" w:hAnsi="仿宋_GB2312" w:eastAsia="仿宋_GB2312" w:cs="仿宋_GB2312"/>
          <w:sz w:val="32"/>
          <w:szCs w:val="32"/>
          <w:lang w:val="en-US" w:eastAsia="zh-CN"/>
        </w:rPr>
      </w:pPr>
    </w:p>
    <w:p>
      <w:pPr>
        <w:widowControl/>
        <w:ind w:firstLine="1280" w:firstLineChars="400"/>
        <w:jc w:val="both"/>
        <w:rPr>
          <w:rFonts w:hint="eastAsia" w:ascii="仿宋_GB2312" w:hAnsi="仿宋_GB2312" w:eastAsia="仿宋_GB2312" w:cs="仿宋_GB2312"/>
          <w:sz w:val="32"/>
          <w:szCs w:val="32"/>
          <w:lang w:val="en-US" w:eastAsia="zh-CN"/>
        </w:rPr>
      </w:pPr>
    </w:p>
    <w:p>
      <w:pPr>
        <w:widowControl/>
        <w:jc w:val="both"/>
        <w:rPr>
          <w:rFonts w:hint="eastAsia" w:ascii="仿宋_GB2312" w:hAnsi="仿宋_GB2312" w:eastAsia="仿宋_GB2312" w:cs="仿宋_GB2312"/>
          <w:sz w:val="32"/>
          <w:szCs w:val="32"/>
          <w:lang w:val="en-US" w:eastAsia="zh-CN"/>
        </w:rPr>
      </w:pPr>
    </w:p>
    <w:p>
      <w:pPr>
        <w:widowControl/>
        <w:ind w:firstLine="1280" w:firstLineChars="400"/>
        <w:jc w:val="both"/>
        <w:rPr>
          <w:rFonts w:ascii="黑体" w:hAnsi="黑体" w:eastAsia="黑体"/>
          <w:color w:val="000000"/>
          <w:sz w:val="48"/>
          <w:szCs w:val="48"/>
        </w:rPr>
      </w:pPr>
      <w:r>
        <w:rPr>
          <w:rFonts w:hint="eastAsia" w:ascii="仿宋_GB2312" w:hAnsi="仿宋_GB2312" w:eastAsia="仿宋_GB2312" w:cs="仿宋_GB2312"/>
          <w:sz w:val="32"/>
          <w:szCs w:val="32"/>
          <w:lang w:val="en-US" w:eastAsia="zh-CN"/>
        </w:rPr>
        <w:t xml:space="preserve">                </w:t>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w:t>
      </w:r>
      <w:r>
        <w:rPr>
          <w:rFonts w:hint="eastAsia"/>
          <w:lang w:val="en-US" w:eastAsia="zh-CN"/>
        </w:rPr>
        <w:t>1</w:t>
      </w:r>
      <w:r>
        <w:rPr>
          <w:rFonts w:hint="eastAsia"/>
        </w:rPr>
        <w:t>年9月</w:t>
      </w:r>
      <w:r>
        <w:rPr>
          <w:rFonts w:hint="eastAsia"/>
          <w:lang w:val="en-US" w:eastAsia="zh-CN"/>
        </w:rPr>
        <w:t>28</w:t>
      </w:r>
      <w:r>
        <w:rPr>
          <w:rFonts w:hint="eastAsia"/>
        </w:rPr>
        <w:t>日</w:t>
      </w:r>
    </w:p>
    <w:p/>
    <w:sdt>
      <w:sdtPr>
        <w:rPr>
          <w:rFonts w:ascii="宋体" w:hAnsi="宋体" w:eastAsia="宋体" w:cs="Times New Roman"/>
          <w:kern w:val="2"/>
          <w:sz w:val="21"/>
          <w:szCs w:val="24"/>
          <w:lang w:val="en-US" w:eastAsia="zh-CN" w:bidi="ar-SA"/>
        </w:rPr>
        <w:id w:val="147477881"/>
        <w15:color w:val="DBDBDB"/>
        <w:docPartObj>
          <w:docPartGallery w:val="Table of Contents"/>
          <w:docPartUnique/>
        </w:docPartObj>
      </w:sdtPr>
      <w:sdtEndPr>
        <w:rPr>
          <w:rFonts w:ascii="仿宋" w:hAnsi="仿宋" w:eastAsia="仿宋"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4" w:name="_Toc15396599"/>
          <w:bookmarkStart w:id="15" w:name="_Toc15377196"/>
        </w:p>
        <w:p>
          <w:pPr>
            <w:pStyle w:val="10"/>
            <w:tabs>
              <w:tab w:val="right" w:leader="dot" w:pos="8306"/>
              <w:tab w:val="clear" w:pos="8296"/>
            </w:tabs>
            <w:rPr>
              <w:rFonts w:hint="eastAsia" w:asciiTheme="minorEastAsia" w:hAnsiTheme="minorEastAsia" w:eastAsiaTheme="minorEastAsia" w:cstheme="minorEastAsia"/>
              <w:sz w:val="28"/>
              <w:szCs w:val="28"/>
            </w:rPr>
          </w:pPr>
          <w:r>
            <w:rPr>
              <w:rFonts w:ascii="仿宋" w:hAnsi="仿宋" w:eastAsia="仿宋"/>
              <w:b/>
              <w:sz w:val="24"/>
            </w:rPr>
            <w:fldChar w:fldCharType="begin"/>
          </w:r>
          <w:r>
            <w:rPr>
              <w:rFonts w:ascii="仿宋" w:hAnsi="仿宋" w:eastAsia="仿宋"/>
              <w:b/>
              <w:sz w:val="24"/>
            </w:rPr>
            <w:instrText xml:space="preserve">TOC \o "1-2" \h \u </w:instrText>
          </w:r>
          <w:r>
            <w:rPr>
              <w:rFonts w:ascii="仿宋" w:hAnsi="仿宋" w:eastAsia="仿宋"/>
              <w:b/>
              <w:sz w:val="24"/>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_Toc470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第一部分 </w:t>
          </w:r>
          <w:r>
            <w:rPr>
              <w:rFonts w:hint="eastAsia" w:asciiTheme="minorEastAsia" w:hAnsiTheme="minorEastAsia" w:eastAsiaTheme="minorEastAsia" w:cstheme="minorEastAsia"/>
              <w:bCs w:val="0"/>
              <w:sz w:val="28"/>
              <w:szCs w:val="28"/>
            </w:rPr>
            <w:t>部门概况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_Toc470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_Toc16529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一、基</w:t>
          </w:r>
          <w:r>
            <w:rPr>
              <w:rFonts w:hint="eastAsia" w:asciiTheme="minorEastAsia" w:hAnsiTheme="minorEastAsia" w:eastAsiaTheme="minorEastAsia" w:cstheme="minorEastAsia"/>
              <w:bCs w:val="0"/>
              <w:sz w:val="28"/>
              <w:szCs w:val="28"/>
            </w:rPr>
            <w:t>本职能及主要工作</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_Toc16529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_Toc20550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二、机</w:t>
          </w:r>
          <w:r>
            <w:rPr>
              <w:rFonts w:hint="eastAsia" w:asciiTheme="minorEastAsia" w:hAnsiTheme="minorEastAsia" w:eastAsiaTheme="minorEastAsia" w:cstheme="minorEastAsia"/>
              <w:bCs w:val="0"/>
              <w:sz w:val="28"/>
              <w:szCs w:val="28"/>
            </w:rPr>
            <w:t>构设置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_Toc20550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_Toc21220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第二部分 </w:t>
          </w:r>
          <w:r>
            <w:rPr>
              <w:rFonts w:hint="eastAsia" w:asciiTheme="minorEastAsia" w:hAnsiTheme="minorEastAsia" w:eastAsiaTheme="minorEastAsia" w:cstheme="minorEastAsia"/>
              <w:bCs w:val="0"/>
              <w:sz w:val="28"/>
              <w:szCs w:val="28"/>
            </w:rPr>
            <w:t>20</w:t>
          </w:r>
          <w:r>
            <w:rPr>
              <w:rFonts w:hint="eastAsia" w:asciiTheme="minorEastAsia" w:hAnsiTheme="minorEastAsia" w:eastAsiaTheme="minorEastAsia" w:cstheme="minorEastAsia"/>
              <w:bCs w:val="0"/>
              <w:sz w:val="28"/>
              <w:szCs w:val="28"/>
              <w:lang w:val="en-US" w:eastAsia="zh-CN"/>
            </w:rPr>
            <w:t>20</w:t>
          </w:r>
          <w:r>
            <w:rPr>
              <w:rFonts w:hint="eastAsia" w:asciiTheme="minorEastAsia" w:hAnsiTheme="minorEastAsia" w:eastAsiaTheme="minorEastAsia" w:cstheme="minorEastAsia"/>
              <w:bCs w:val="0"/>
              <w:sz w:val="28"/>
              <w:szCs w:val="28"/>
            </w:rPr>
            <w:t>年度部门决算情况说明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_Toc21220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_Toc13704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 收入支出决算总体情况说明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_Toc13704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_Toc3865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 收入决算情况说明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_Toc3865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_Toc5464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三、 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_Toc5464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_Toc4732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四、财政拨款收入支出决算总体情况说明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_Toc4732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_Toc17288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五、一般公共预算财政拨款支出决算情况说明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_Toc17288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_Toc21288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六、一般公共预算财政拨款基本支出决算情况说明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_Toc21288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_Toc17438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七、“三公”经费财政拨款支出决算情况说明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_Toc17438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_Toc31073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八、政府性基金预算支出决算情况说明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_Toc31073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_Toc28869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九、 国有资本经营预算支出决算情况说明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_Toc24620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十、其他重要事项的情况说明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_Toc24620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_Toc4787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第三部分 名词解释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_Toc4787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_Toc13468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部分 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_Toc13468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_Toc12116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一、收</w:t>
          </w:r>
          <w:r>
            <w:rPr>
              <w:rFonts w:hint="eastAsia" w:asciiTheme="minorEastAsia" w:hAnsiTheme="minorEastAsia" w:eastAsiaTheme="minorEastAsia" w:cstheme="minorEastAsia"/>
              <w:bCs w:val="0"/>
              <w:sz w:val="28"/>
              <w:szCs w:val="28"/>
            </w:rPr>
            <w:t>入支出决算总表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_Toc12116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_Toc14079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二、收</w:t>
          </w:r>
          <w:r>
            <w:rPr>
              <w:rFonts w:hint="eastAsia" w:asciiTheme="minorEastAsia" w:hAnsiTheme="minorEastAsia" w:eastAsiaTheme="minorEastAsia" w:cstheme="minorEastAsia"/>
              <w:bCs w:val="0"/>
              <w:sz w:val="28"/>
              <w:szCs w:val="28"/>
            </w:rPr>
            <w:t>入决算表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_Toc14079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_Toc11511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三、</w:t>
          </w:r>
          <w:r>
            <w:rPr>
              <w:rFonts w:hint="eastAsia" w:asciiTheme="minorEastAsia" w:hAnsiTheme="minorEastAsia" w:eastAsiaTheme="minorEastAsia" w:cstheme="minorEastAsia"/>
              <w:sz w:val="28"/>
              <w:szCs w:val="28"/>
            </w:rPr>
            <w:t>支</w:t>
          </w:r>
          <w:r>
            <w:rPr>
              <w:rFonts w:hint="eastAsia" w:asciiTheme="minorEastAsia" w:hAnsiTheme="minorEastAsia" w:eastAsiaTheme="minorEastAsia" w:cstheme="minorEastAsia"/>
              <w:bCs w:val="0"/>
              <w:sz w:val="28"/>
              <w:szCs w:val="28"/>
            </w:rPr>
            <w:t>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_Toc11511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_Toc1750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四、</w:t>
          </w:r>
          <w:r>
            <w:rPr>
              <w:rFonts w:hint="eastAsia" w:asciiTheme="minorEastAsia" w:hAnsiTheme="minorEastAsia" w:eastAsiaTheme="minorEastAsia" w:cstheme="minorEastAsia"/>
              <w:sz w:val="28"/>
              <w:szCs w:val="28"/>
            </w:rPr>
            <w:t>财</w:t>
          </w:r>
          <w:r>
            <w:rPr>
              <w:rFonts w:hint="eastAsia" w:asciiTheme="minorEastAsia" w:hAnsiTheme="minorEastAsia" w:eastAsiaTheme="minorEastAsia" w:cstheme="minorEastAsia"/>
              <w:bCs w:val="0"/>
              <w:sz w:val="28"/>
              <w:szCs w:val="28"/>
            </w:rPr>
            <w:t>政拨款收入支出决算总表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_Toc1750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_Toc24025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五、</w:t>
          </w:r>
          <w:r>
            <w:rPr>
              <w:rFonts w:hint="eastAsia" w:asciiTheme="minorEastAsia" w:hAnsiTheme="minorEastAsia" w:eastAsiaTheme="minorEastAsia" w:cstheme="minorEastAsia"/>
              <w:sz w:val="28"/>
              <w:szCs w:val="28"/>
            </w:rPr>
            <w:t>财</w:t>
          </w:r>
          <w:r>
            <w:rPr>
              <w:rFonts w:hint="eastAsia" w:asciiTheme="minorEastAsia" w:hAnsiTheme="minorEastAsia" w:eastAsiaTheme="minorEastAsia" w:cstheme="minorEastAsia"/>
              <w:bCs w:val="0"/>
              <w:sz w:val="28"/>
              <w:szCs w:val="28"/>
            </w:rPr>
            <w:t>政拨款支出决算明细表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_Toc24025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_Toc8992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六、</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_Toc8992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_Toc19405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七、</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般公共预算财政拨款支出决算明细表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_Toc19405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_Toc8684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八、</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般公共预算财政拨款基本支出决算表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_Toc8684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_Toc16903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九、</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般公共预算财政拨款项目支出决算表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_Toc16903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_Toc384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般公共预算财政拨款“三公”经费支出决算表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_Toc384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_Toc3629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十一、</w:t>
          </w:r>
          <w:r>
            <w:rPr>
              <w:rFonts w:hint="eastAsia" w:asciiTheme="minorEastAsia" w:hAnsiTheme="minorEastAsia" w:eastAsiaTheme="minorEastAsia" w:cstheme="minorEastAsia"/>
              <w:sz w:val="28"/>
              <w:szCs w:val="28"/>
            </w:rPr>
            <w:t>政</w:t>
          </w:r>
          <w:r>
            <w:rPr>
              <w:rFonts w:hint="eastAsia" w:asciiTheme="minorEastAsia" w:hAnsiTheme="minorEastAsia" w:eastAsiaTheme="minorEastAsia" w:cstheme="minorEastAsia"/>
              <w:bCs w:val="0"/>
              <w:sz w:val="28"/>
              <w:szCs w:val="28"/>
            </w:rPr>
            <w:t>府性基金预算财政拨款收入支出决算表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_Toc3629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_Toc18317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十二、</w:t>
          </w:r>
          <w:r>
            <w:rPr>
              <w:rFonts w:hint="eastAsia" w:asciiTheme="minorEastAsia" w:hAnsiTheme="minorEastAsia" w:eastAsiaTheme="minorEastAsia" w:cstheme="minorEastAsia"/>
              <w:sz w:val="28"/>
              <w:szCs w:val="28"/>
            </w:rPr>
            <w:t>政</w:t>
          </w:r>
          <w:r>
            <w:rPr>
              <w:rFonts w:hint="eastAsia" w:asciiTheme="minorEastAsia" w:hAnsiTheme="minorEastAsia" w:eastAsiaTheme="minorEastAsia" w:cstheme="minorEastAsia"/>
              <w:bCs w:val="0"/>
              <w:sz w:val="28"/>
              <w:szCs w:val="28"/>
            </w:rPr>
            <w:t>府性基金预算财政拨款“三公”经费支出决算表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_Toc18317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tabs>
              <w:tab w:val="right" w:leader="dot" w:pos="8306"/>
              <w:tab w:val="clear" w:pos="8296"/>
            </w:tabs>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_Toc31528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十三、</w:t>
          </w:r>
          <w:r>
            <w:rPr>
              <w:rFonts w:hint="eastAsia" w:asciiTheme="minorEastAsia" w:hAnsiTheme="minorEastAsia" w:eastAsiaTheme="minorEastAsia" w:cstheme="minorEastAsia"/>
              <w:sz w:val="28"/>
              <w:szCs w:val="28"/>
            </w:rPr>
            <w:t>国</w:t>
          </w:r>
          <w:r>
            <w:rPr>
              <w:rFonts w:hint="eastAsia" w:asciiTheme="minorEastAsia" w:hAnsiTheme="minorEastAsia" w:eastAsiaTheme="minorEastAsia" w:cstheme="minorEastAsia"/>
              <w:bCs w:val="0"/>
              <w:sz w:val="28"/>
              <w:szCs w:val="28"/>
            </w:rPr>
            <w:t>有资本经营预算支出决算表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_Toc31528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widowControl/>
            <w:spacing w:line="440" w:lineRule="exact"/>
            <w:jc w:val="left"/>
            <w:rPr>
              <w:rFonts w:ascii="仿宋" w:hAnsi="仿宋" w:eastAsia="仿宋"/>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spacing w:line="440" w:lineRule="exact"/>
            <w:jc w:val="left"/>
            <w:rPr>
              <w:rFonts w:ascii="仿宋" w:hAnsi="仿宋" w:eastAsia="仿宋"/>
              <w:b/>
              <w:sz w:val="24"/>
            </w:rPr>
          </w:pPr>
          <w:r>
            <w:rPr>
              <w:rFonts w:ascii="仿宋" w:hAnsi="仿宋" w:eastAsia="仿宋"/>
            </w:rPr>
            <w:fldChar w:fldCharType="end"/>
          </w:r>
        </w:p>
      </w:sdtContent>
    </w:sdt>
    <w:p>
      <w:pPr>
        <w:pStyle w:val="3"/>
        <w:jc w:val="center"/>
        <w:rPr>
          <w:rFonts w:ascii="黑体" w:eastAsia="黑体"/>
          <w:color w:val="000000"/>
          <w:sz w:val="32"/>
          <w:szCs w:val="32"/>
        </w:rPr>
      </w:pPr>
      <w:bookmarkStart w:id="16" w:name="_Toc470"/>
      <w:r>
        <w:rPr>
          <w:rFonts w:hint="eastAsia" w:ascii="黑体" w:hAnsi="黑体" w:eastAsia="黑体"/>
          <w:b w:val="0"/>
        </w:rPr>
        <w:t xml:space="preserve">第一部分 </w:t>
      </w:r>
      <w:r>
        <w:rPr>
          <w:rStyle w:val="24"/>
          <w:rFonts w:hint="eastAsia" w:ascii="黑体" w:hAnsi="黑体" w:eastAsia="黑体"/>
          <w:b w:val="0"/>
          <w:bCs w:val="0"/>
        </w:rPr>
        <w:t>部门概况</w:t>
      </w:r>
      <w:bookmarkEnd w:id="14"/>
      <w:bookmarkEnd w:id="15"/>
      <w:bookmarkEnd w:id="16"/>
    </w:p>
    <w:p>
      <w:pPr>
        <w:pStyle w:val="2"/>
        <w:ind w:firstLine="960" w:firstLineChars="300"/>
        <w:rPr>
          <w:rStyle w:val="25"/>
          <w:rFonts w:ascii="仿宋" w:hAnsi="仿宋" w:eastAsia="仿宋"/>
          <w:b w:val="0"/>
          <w:bCs w:val="0"/>
        </w:rPr>
      </w:pPr>
      <w:bookmarkStart w:id="17" w:name="_Toc15377197"/>
      <w:bookmarkStart w:id="18" w:name="_Toc16529"/>
      <w:bookmarkStart w:id="19"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7"/>
      <w:bookmarkEnd w:id="18"/>
      <w:bookmarkEnd w:id="19"/>
    </w:p>
    <w:p>
      <w:pPr>
        <w:pStyle w:val="5"/>
        <w:adjustRightInd w:val="0"/>
        <w:snapToGrid w:val="0"/>
        <w:spacing w:before="93" w:line="600" w:lineRule="exact"/>
        <w:ind w:firstLine="675" w:firstLineChars="210"/>
        <w:outlineLvl w:val="2"/>
        <w:rPr>
          <w:rFonts w:hint="eastAsia" w:ascii="仿宋_GB2312" w:eastAsia="仿宋_GB2312"/>
          <w:sz w:val="32"/>
          <w:szCs w:val="32"/>
        </w:rPr>
      </w:pPr>
      <w:bookmarkStart w:id="20" w:name="_Toc15378445"/>
      <w:bookmarkStart w:id="21" w:name="_Toc15377198"/>
      <w:r>
        <w:rPr>
          <w:rFonts w:hint="eastAsia" w:ascii="楷体_GB2312" w:hAnsi="楷体_GB2312" w:eastAsia="楷体_GB2312" w:cs="楷体_GB2312"/>
          <w:b/>
          <w:bCs w:val="0"/>
          <w:color w:val="000000"/>
          <w:sz w:val="32"/>
          <w:szCs w:val="32"/>
        </w:rPr>
        <w:t>（一）主要职能。</w:t>
      </w:r>
      <w:bookmarkEnd w:id="20"/>
      <w:bookmarkEnd w:id="21"/>
      <w:bookmarkStart w:id="22" w:name="_Toc15378446"/>
      <w:bookmarkStart w:id="23" w:name="_Toc15377199"/>
      <w:r>
        <w:rPr>
          <w:rFonts w:hint="eastAsia" w:ascii="仿宋_GB2312" w:hAnsi="仿宋" w:eastAsia="仿宋_GB2312"/>
          <w:sz w:val="32"/>
          <w:szCs w:val="32"/>
          <w:lang w:val="en-US" w:eastAsia="zh-CN"/>
        </w:rPr>
        <w:t>阿坝州城乡环境综合治理服务中心、阿坝州房产交易中心</w:t>
      </w:r>
      <w:r>
        <w:rPr>
          <w:rFonts w:hint="eastAsia" w:ascii="仿宋_GB2312" w:hAnsi="仿宋" w:eastAsia="仿宋_GB2312"/>
          <w:sz w:val="32"/>
          <w:szCs w:val="32"/>
        </w:rPr>
        <w:t>根据</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中共阿坝州委机构编制委员会关于调整州住房和城乡建设局所属事业单位有关机构编制事项的通知</w:t>
      </w:r>
      <w:r>
        <w:rPr>
          <w:rFonts w:hint="eastAsia" w:ascii="仿宋_GB2312" w:hAnsi="仿宋" w:eastAsia="仿宋_GB2312"/>
          <w:sz w:val="32"/>
          <w:szCs w:val="32"/>
          <w:lang w:eastAsia="zh-CN"/>
        </w:rPr>
        <w:t>》（</w:t>
      </w:r>
      <w:r>
        <w:rPr>
          <w:rFonts w:hint="eastAsia" w:ascii="仿宋_GB2312" w:hAnsi="仿宋" w:eastAsia="仿宋_GB2312"/>
          <w:sz w:val="32"/>
          <w:szCs w:val="32"/>
        </w:rPr>
        <w:t>阿编发[201</w:t>
      </w:r>
      <w:r>
        <w:rPr>
          <w:rFonts w:hint="eastAsia" w:ascii="仿宋_GB2312" w:hAnsi="仿宋" w:eastAsia="仿宋_GB2312"/>
          <w:sz w:val="32"/>
          <w:szCs w:val="32"/>
          <w:lang w:val="en-US" w:eastAsia="zh-CN"/>
        </w:rPr>
        <w:t>9</w:t>
      </w:r>
      <w:r>
        <w:rPr>
          <w:rFonts w:hint="eastAsia" w:ascii="仿宋_GB2312" w:hAnsi="仿宋" w:eastAsia="仿宋_GB2312"/>
          <w:sz w:val="32"/>
          <w:szCs w:val="32"/>
        </w:rPr>
        <w:t>]5</w:t>
      </w:r>
      <w:r>
        <w:rPr>
          <w:rFonts w:hint="eastAsia" w:ascii="仿宋_GB2312" w:hAnsi="仿宋" w:eastAsia="仿宋_GB2312"/>
          <w:sz w:val="32"/>
          <w:szCs w:val="32"/>
          <w:lang w:val="en-US" w:eastAsia="zh-CN"/>
        </w:rPr>
        <w:t>3</w:t>
      </w:r>
      <w:r>
        <w:rPr>
          <w:rFonts w:hint="eastAsia" w:ascii="仿宋_GB2312" w:hAnsi="仿宋" w:eastAsia="仿宋_GB2312"/>
          <w:sz w:val="32"/>
          <w:szCs w:val="32"/>
        </w:rPr>
        <w:t>号</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批准。阿坝州城乡环境综合治理服务中心</w:t>
      </w:r>
      <w:r>
        <w:rPr>
          <w:rFonts w:hint="eastAsia" w:ascii="仿宋_GB2312" w:eastAsia="仿宋_GB2312"/>
          <w:sz w:val="32"/>
          <w:szCs w:val="32"/>
        </w:rPr>
        <w:t>依据国家、地方有关城市建设管理法律、法规、规章和《四川省城乡环境综合治理条例》等行政法规，对违反城乡环境综合治理的违法违章行为依法实施监察和处置，对全州城乡环境综合治理工作的监督、检查、指导。</w:t>
      </w:r>
      <w:r>
        <w:rPr>
          <w:rFonts w:hint="eastAsia" w:ascii="仿宋_GB2312" w:eastAsia="仿宋_GB2312"/>
          <w:sz w:val="32"/>
          <w:szCs w:val="32"/>
          <w:lang w:val="en-US" w:eastAsia="zh-CN"/>
        </w:rPr>
        <w:t>阿坝州房产交易中心负责</w:t>
      </w:r>
      <w:r>
        <w:rPr>
          <w:rFonts w:hint="eastAsia" w:ascii="仿宋_GB2312" w:eastAsia="仿宋_GB2312"/>
          <w:sz w:val="32"/>
          <w:szCs w:val="32"/>
        </w:rPr>
        <w:t>宣传和执行国家、省、州有关房地产权登记管理方面的法律、法规、政策；负责全州商品房预售登记，预购登记，预售资金监督及预售商品房广告监督；负责对全州房地产交易、登记、转移、赠与、继承、租赁等活动的监管；负责全州房地产信息网络平台的建设、维护和管理</w:t>
      </w:r>
      <w:r>
        <w:rPr>
          <w:rFonts w:hint="eastAsia" w:ascii="仿宋_GB2312" w:eastAsia="仿宋_GB2312"/>
          <w:sz w:val="32"/>
          <w:szCs w:val="32"/>
          <w:lang w:eastAsia="zh-CN"/>
        </w:rPr>
        <w:t>；</w:t>
      </w:r>
      <w:r>
        <w:rPr>
          <w:rFonts w:hint="eastAsia" w:ascii="仿宋_GB2312" w:eastAsia="仿宋_GB2312"/>
          <w:sz w:val="32"/>
          <w:szCs w:val="32"/>
        </w:rPr>
        <w:t>接受州级公安局、检察院、法院、纪委、组织部</w:t>
      </w:r>
      <w:r>
        <w:rPr>
          <w:rFonts w:hint="eastAsia" w:ascii="仿宋_GB2312" w:eastAsia="仿宋_GB2312"/>
          <w:sz w:val="32"/>
          <w:szCs w:val="32"/>
          <w:lang w:eastAsia="zh-CN"/>
        </w:rPr>
        <w:t>、</w:t>
      </w:r>
      <w:r>
        <w:rPr>
          <w:rFonts w:hint="eastAsia" w:ascii="仿宋_GB2312" w:eastAsia="仿宋_GB2312"/>
          <w:sz w:val="32"/>
          <w:szCs w:val="32"/>
          <w:lang w:val="en-US" w:eastAsia="zh-CN"/>
        </w:rPr>
        <w:t>省</w:t>
      </w:r>
      <w:r>
        <w:rPr>
          <w:rFonts w:hint="eastAsia" w:ascii="仿宋_GB2312" w:eastAsia="仿宋_GB2312"/>
          <w:sz w:val="32"/>
          <w:szCs w:val="32"/>
        </w:rPr>
        <w:t>建设厅这六部门对全州特定人员的房产核查工作。</w:t>
      </w:r>
    </w:p>
    <w:p>
      <w:pPr>
        <w:pStyle w:val="5"/>
        <w:adjustRightInd w:val="0"/>
        <w:snapToGrid w:val="0"/>
        <w:spacing w:before="93" w:line="600" w:lineRule="exact"/>
        <w:ind w:firstLine="675" w:firstLineChars="210"/>
        <w:outlineLvl w:val="2"/>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（二）2019年重点工作完成情况。</w:t>
      </w:r>
      <w:bookmarkEnd w:id="22"/>
      <w:bookmarkEnd w:id="23"/>
    </w:p>
    <w:p>
      <w:pPr>
        <w:keepNext w:val="0"/>
        <w:keepLines w:val="0"/>
        <w:pageBreakBefore w:val="0"/>
        <w:widowControl w:val="0"/>
        <w:tabs>
          <w:tab w:val="left" w:pos="474"/>
        </w:tabs>
        <w:kinsoku/>
        <w:wordWrap/>
        <w:overflowPunct/>
        <w:topLinePunct w:val="0"/>
        <w:autoSpaceDE/>
        <w:autoSpaceDN/>
        <w:bidi w:val="0"/>
        <w:adjustRightInd/>
        <w:snapToGrid/>
        <w:spacing w:beforeAutospacing="0" w:afterAutospacing="0" w:line="560" w:lineRule="exact"/>
        <w:ind w:firstLine="630" w:firstLineChars="196"/>
        <w:textAlignment w:val="auto"/>
        <w:rPr>
          <w:rFonts w:hint="default" w:ascii="Times New Roman" w:hAnsi="Times New Roman" w:eastAsia="楷体_GB2312" w:cs="Times New Roman"/>
          <w:b/>
          <w:color w:val="auto"/>
          <w:kern w:val="0"/>
          <w:sz w:val="32"/>
          <w:szCs w:val="32"/>
          <w:highlight w:val="none"/>
          <w:shd w:val="clear" w:color="auto" w:fill="auto"/>
          <w:lang w:val="en-US" w:eastAsia="zh-CN"/>
        </w:rPr>
      </w:pPr>
      <w:bookmarkStart w:id="24" w:name="_Toc15377200"/>
      <w:bookmarkStart w:id="25" w:name="_Toc20550"/>
      <w:bookmarkStart w:id="26" w:name="_Toc15396601"/>
      <w:r>
        <w:rPr>
          <w:rFonts w:hint="eastAsia" w:ascii="Times New Roman" w:hAnsi="Times New Roman" w:eastAsia="楷体_GB2312" w:cs="Times New Roman"/>
          <w:b/>
          <w:color w:val="auto"/>
          <w:kern w:val="0"/>
          <w:sz w:val="32"/>
          <w:szCs w:val="32"/>
          <w:highlight w:val="none"/>
          <w:shd w:val="clear" w:color="auto" w:fill="auto"/>
          <w:lang w:val="en-US" w:eastAsia="zh-CN"/>
        </w:rPr>
        <w:t>1.</w:t>
      </w:r>
      <w:r>
        <w:rPr>
          <w:rFonts w:hint="default" w:ascii="Times New Roman" w:hAnsi="Times New Roman" w:eastAsia="楷体_GB2312" w:cs="Times New Roman"/>
          <w:b/>
          <w:color w:val="auto"/>
          <w:kern w:val="0"/>
          <w:sz w:val="32"/>
          <w:szCs w:val="32"/>
          <w:highlight w:val="none"/>
          <w:shd w:val="clear" w:color="auto" w:fill="auto"/>
          <w:lang w:val="en-US" w:eastAsia="zh-CN"/>
        </w:rPr>
        <w:t>脱贫攻坚任务全面完成</w:t>
      </w:r>
      <w:r>
        <w:rPr>
          <w:rFonts w:hint="eastAsia" w:ascii="Times New Roman" w:hAnsi="Times New Roman" w:eastAsia="楷体_GB2312" w:cs="Times New Roman"/>
          <w:b/>
          <w:color w:val="auto"/>
          <w:kern w:val="0"/>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shd w:val="clear" w:color="auto" w:fill="auto"/>
          <w:lang w:eastAsia="zh-CN"/>
        </w:rPr>
        <w:t>一是开展脱贫攻坚挂牌督战，</w:t>
      </w:r>
      <w:r>
        <w:rPr>
          <w:rFonts w:hint="default" w:ascii="Times New Roman" w:hAnsi="Times New Roman" w:eastAsia="仿宋_GB2312" w:cs="Times New Roman"/>
          <w:color w:val="auto"/>
          <w:sz w:val="32"/>
          <w:szCs w:val="32"/>
          <w:highlight w:val="none"/>
          <w:shd w:val="clear" w:color="auto" w:fill="auto"/>
        </w:rPr>
        <w:t>制定脱贫攻坚收官实施方案</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成立住房安全保障挂牌督战领导小组</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对</w:t>
      </w:r>
      <w:r>
        <w:rPr>
          <w:rFonts w:hint="default" w:ascii="Times New Roman" w:hAnsi="Times New Roman" w:eastAsia="仿宋_GB2312" w:cs="Times New Roman"/>
          <w:color w:val="auto"/>
          <w:sz w:val="32"/>
          <w:szCs w:val="32"/>
          <w:highlight w:val="none"/>
          <w:shd w:val="clear" w:color="auto" w:fill="auto"/>
          <w:lang w:val="en-US" w:eastAsia="zh-CN"/>
        </w:rPr>
        <w:t>农房建设方面</w:t>
      </w:r>
      <w:r>
        <w:rPr>
          <w:rFonts w:hint="default" w:ascii="Times New Roman" w:hAnsi="Times New Roman" w:eastAsia="仿宋_GB2312" w:cs="Times New Roman"/>
          <w:color w:val="auto"/>
          <w:sz w:val="32"/>
          <w:szCs w:val="32"/>
          <w:highlight w:val="none"/>
          <w:shd w:val="clear" w:color="auto" w:fill="auto"/>
        </w:rPr>
        <w:t>重点工程、重点区域和薄弱环节</w:t>
      </w:r>
      <w:r>
        <w:rPr>
          <w:rFonts w:hint="default" w:ascii="Times New Roman" w:hAnsi="Times New Roman" w:eastAsia="仿宋_GB2312" w:cs="Times New Roman"/>
          <w:color w:val="auto"/>
          <w:sz w:val="32"/>
          <w:szCs w:val="32"/>
          <w:highlight w:val="none"/>
          <w:shd w:val="clear" w:color="auto" w:fill="auto"/>
          <w:lang w:val="en-US" w:eastAsia="zh-CN"/>
        </w:rPr>
        <w:t>进行</w:t>
      </w:r>
      <w:r>
        <w:rPr>
          <w:rFonts w:hint="default" w:ascii="Times New Roman" w:hAnsi="Times New Roman" w:eastAsia="仿宋_GB2312" w:cs="Times New Roman"/>
          <w:color w:val="auto"/>
          <w:sz w:val="32"/>
          <w:szCs w:val="32"/>
          <w:highlight w:val="none"/>
          <w:shd w:val="clear" w:color="auto" w:fill="auto"/>
        </w:rPr>
        <w:t>挂牌督战。</w:t>
      </w:r>
      <w:r>
        <w:rPr>
          <w:rFonts w:hint="default" w:ascii="Times New Roman" w:hAnsi="Times New Roman" w:eastAsia="仿宋_GB2312" w:cs="Times New Roman"/>
          <w:color w:val="auto"/>
          <w:sz w:val="32"/>
          <w:szCs w:val="32"/>
          <w:highlight w:val="none"/>
          <w:shd w:val="clear" w:color="auto" w:fill="auto"/>
          <w:lang w:eastAsia="zh-CN"/>
        </w:rPr>
        <w:t>一个月内</w:t>
      </w:r>
      <w:r>
        <w:rPr>
          <w:rFonts w:hint="default" w:ascii="Times New Roman" w:hAnsi="Times New Roman" w:eastAsia="仿宋_GB2312" w:cs="Times New Roman"/>
          <w:color w:val="auto"/>
          <w:sz w:val="32"/>
          <w:szCs w:val="32"/>
          <w:highlight w:val="none"/>
          <w:shd w:val="clear" w:color="auto" w:fill="auto"/>
        </w:rPr>
        <w:t>完成了脱贫攻坚住房安全有保障核验</w:t>
      </w:r>
      <w:r>
        <w:rPr>
          <w:rFonts w:hint="default" w:ascii="Times New Roman" w:hAnsi="Times New Roman" w:eastAsia="仿宋_GB2312" w:cs="Times New Roman"/>
          <w:color w:val="auto"/>
          <w:sz w:val="32"/>
          <w:szCs w:val="32"/>
          <w:highlight w:val="none"/>
          <w:shd w:val="clear" w:color="auto" w:fill="auto"/>
          <w:lang w:eastAsia="zh-CN"/>
        </w:rPr>
        <w:t>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核验建档立卡贫困户26367户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核验率100%。</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eastAsia="仿宋_GB2312" w:cs="Times New Roman"/>
          <w:b/>
          <w:bCs/>
          <w:color w:val="auto"/>
          <w:sz w:val="32"/>
          <w:szCs w:val="32"/>
          <w:highlight w:val="none"/>
        </w:rPr>
        <w:t>加强农房安全质量</w:t>
      </w:r>
      <w:r>
        <w:rPr>
          <w:rFonts w:hint="default" w:ascii="Times New Roman" w:hAnsi="Times New Roman" w:eastAsia="仿宋_GB2312" w:cs="Times New Roman"/>
          <w:b/>
          <w:bCs/>
          <w:color w:val="auto"/>
          <w:sz w:val="32"/>
          <w:szCs w:val="32"/>
          <w:highlight w:val="none"/>
          <w:lang w:eastAsia="zh-CN"/>
        </w:rPr>
        <w:t>管理，</w:t>
      </w:r>
      <w:r>
        <w:rPr>
          <w:rFonts w:hint="default" w:ascii="Times New Roman" w:hAnsi="Times New Roman" w:eastAsia="仿宋_GB2312" w:cs="Times New Roman"/>
          <w:color w:val="auto"/>
          <w:sz w:val="32"/>
          <w:szCs w:val="32"/>
          <w:highlight w:val="none"/>
        </w:rPr>
        <w:t>持续开展脱贫攻坚农房质量安全检查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做好四类重点对象农村危房改造安全性鉴定技术指导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发放《阿坝州脱贫攻坚农房维修加固指导手册》</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2000余册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全面完成715户土坯房建设任务。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20" w:leftChars="200" w:firstLine="321" w:firstLineChars="100"/>
        <w:jc w:val="left"/>
        <w:textAlignment w:val="auto"/>
        <w:rPr>
          <w:rFonts w:hint="default" w:ascii="Times New Roman" w:hAnsi="Times New Roman" w:eastAsia="楷体_GB2312" w:cs="Times New Roman"/>
          <w:b/>
          <w:bCs/>
          <w:color w:val="auto"/>
          <w:kern w:val="2"/>
          <w:sz w:val="32"/>
          <w:szCs w:val="32"/>
          <w:highlight w:val="none"/>
          <w:shd w:val="clear" w:color="auto" w:fill="auto"/>
          <w:lang w:val="en-US" w:eastAsia="zh-CN" w:bidi="ar-SA"/>
        </w:rPr>
      </w:pPr>
      <w:r>
        <w:rPr>
          <w:rFonts w:hint="eastAsia" w:ascii="Times New Roman" w:hAnsi="Times New Roman" w:eastAsia="楷体_GB2312" w:cs="Times New Roman"/>
          <w:b/>
          <w:bCs/>
          <w:color w:val="auto"/>
          <w:kern w:val="2"/>
          <w:sz w:val="32"/>
          <w:szCs w:val="32"/>
          <w:highlight w:val="none"/>
          <w:shd w:val="clear" w:color="auto" w:fill="auto"/>
          <w:lang w:val="en-US" w:eastAsia="zh-CN" w:bidi="ar-SA"/>
        </w:rPr>
        <w:t>2.</w:t>
      </w:r>
      <w:r>
        <w:rPr>
          <w:rFonts w:hint="default" w:ascii="Times New Roman" w:hAnsi="Times New Roman" w:eastAsia="楷体_GB2312" w:cs="Times New Roman"/>
          <w:b/>
          <w:bCs/>
          <w:color w:val="auto"/>
          <w:kern w:val="2"/>
          <w:sz w:val="32"/>
          <w:szCs w:val="32"/>
          <w:highlight w:val="none"/>
          <w:shd w:val="clear" w:color="auto" w:fill="auto"/>
          <w:lang w:val="en-US" w:eastAsia="zh-CN" w:bidi="ar-SA"/>
        </w:rPr>
        <w:t>住房保障体系和住房市场体系不断完善。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bCs/>
          <w:color w:val="000000" w:themeColor="text1"/>
          <w:kern w:val="0"/>
          <w:sz w:val="32"/>
          <w:szCs w:val="32"/>
          <w:highlight w:val="none"/>
          <w:shd w:val="clear" w:color="auto" w:fill="auto"/>
          <w:lang w:val="en-US" w:eastAsia="zh-CN"/>
          <w14:textFill>
            <w14:solidFill>
              <w14:schemeClr w14:val="tx1"/>
            </w14:solidFill>
          </w14:textFill>
        </w:rPr>
        <w:t>一是住房保障</w:t>
      </w:r>
      <w:r>
        <w:rPr>
          <w:rFonts w:hint="eastAsia" w:ascii="Times New Roman" w:hAnsi="Times New Roman" w:eastAsia="仿宋_GB2312" w:cs="Times New Roman"/>
          <w:b/>
          <w:bCs/>
          <w:color w:val="000000" w:themeColor="text1"/>
          <w:kern w:val="0"/>
          <w:sz w:val="32"/>
          <w:szCs w:val="32"/>
          <w:highlight w:val="none"/>
          <w:shd w:val="clear" w:color="auto" w:fill="auto"/>
          <w:lang w:val="en-US" w:eastAsia="zh-CN"/>
          <w14:textFill>
            <w14:solidFill>
              <w14:schemeClr w14:val="tx1"/>
            </w14:solidFill>
          </w14:textFill>
        </w:rPr>
        <w:t>持续完善</w:t>
      </w:r>
      <w:r>
        <w:rPr>
          <w:rFonts w:hint="default" w:ascii="Times New Roman" w:hAnsi="Times New Roman" w:eastAsia="仿宋_GB2312" w:cs="Times New Roman"/>
          <w:b/>
          <w:bCs/>
          <w:color w:val="auto"/>
          <w:kern w:val="0"/>
          <w:sz w:val="32"/>
          <w:szCs w:val="32"/>
          <w:highlight w:val="none"/>
          <w:shd w:val="clear" w:color="auto" w:fill="auto"/>
          <w:lang w:val="en-US" w:eastAsia="zh-CN"/>
        </w:rPr>
        <w:t>，</w:t>
      </w:r>
      <w:r>
        <w:rPr>
          <w:rFonts w:hint="default" w:ascii="Times New Roman" w:hAnsi="Times New Roman" w:eastAsia="仿宋_GB2312" w:cs="Times New Roman"/>
          <w:color w:val="auto"/>
          <w:kern w:val="0"/>
          <w:sz w:val="32"/>
          <w:szCs w:val="32"/>
          <w:highlight w:val="none"/>
          <w:shd w:val="clear" w:color="auto" w:fill="auto"/>
          <w:lang w:val="en-US" w:eastAsia="zh-CN"/>
        </w:rPr>
        <w:t>精准掌握房源信息和保障对象信息，完善“两张清单”。完成我州9693套公租房房源采集</w:t>
      </w:r>
      <w:r>
        <w:rPr>
          <w:rFonts w:hint="eastAsia" w:ascii="Times New Roman" w:hAnsi="Times New Roman" w:eastAsia="仿宋_GB2312" w:cs="Times New Roman"/>
          <w:color w:val="auto"/>
          <w:kern w:val="0"/>
          <w:sz w:val="32"/>
          <w:szCs w:val="32"/>
          <w:highlight w:val="none"/>
          <w:shd w:val="clear" w:color="auto" w:fill="auto"/>
          <w:lang w:val="en-US" w:eastAsia="zh-CN"/>
        </w:rPr>
        <w:t>和</w:t>
      </w:r>
      <w:r>
        <w:rPr>
          <w:rFonts w:hint="default" w:ascii="Times New Roman" w:hAnsi="Times New Roman" w:eastAsia="仿宋_GB2312" w:cs="Times New Roman"/>
          <w:color w:val="auto"/>
          <w:kern w:val="0"/>
          <w:sz w:val="32"/>
          <w:szCs w:val="32"/>
          <w:highlight w:val="none"/>
          <w:shd w:val="clear" w:color="auto" w:fill="auto"/>
          <w:lang w:val="en-US" w:eastAsia="zh-CN"/>
        </w:rPr>
        <w:t>1632套人员匹配工作。</w:t>
      </w:r>
      <w:r>
        <w:rPr>
          <w:rFonts w:hint="default" w:ascii="Times New Roman" w:hAnsi="Times New Roman" w:eastAsia="仿宋_GB2312" w:cs="Times New Roman"/>
          <w:color w:val="auto"/>
          <w:sz w:val="32"/>
          <w:szCs w:val="32"/>
          <w:highlight w:val="none"/>
          <w:shd w:val="clear" w:color="auto" w:fill="auto"/>
        </w:rPr>
        <w:t>申报</w:t>
      </w:r>
      <w:r>
        <w:rPr>
          <w:rFonts w:hint="default" w:ascii="Times New Roman" w:hAnsi="Times New Roman" w:eastAsia="仿宋_GB2312" w:cs="Times New Roman"/>
          <w:color w:val="auto"/>
          <w:sz w:val="32"/>
          <w:szCs w:val="32"/>
          <w:highlight w:val="none"/>
          <w:shd w:val="clear" w:color="auto" w:fill="auto"/>
          <w:lang w:eastAsia="zh-CN"/>
        </w:rPr>
        <w:t>实施</w:t>
      </w:r>
      <w:r>
        <w:rPr>
          <w:rFonts w:hint="default" w:ascii="Times New Roman" w:hAnsi="Times New Roman" w:eastAsia="仿宋_GB2312" w:cs="Times New Roman"/>
          <w:color w:val="auto"/>
          <w:sz w:val="32"/>
          <w:szCs w:val="32"/>
          <w:highlight w:val="none"/>
          <w:shd w:val="clear" w:color="auto" w:fill="auto"/>
        </w:rPr>
        <w:t>马尔康市、汶川县</w:t>
      </w:r>
      <w:r>
        <w:rPr>
          <w:rFonts w:hint="default" w:ascii="Times New Roman" w:hAnsi="Times New Roman" w:eastAsia="仿宋_GB2312" w:cs="Times New Roman"/>
          <w:color w:val="auto"/>
          <w:sz w:val="32"/>
          <w:szCs w:val="32"/>
          <w:highlight w:val="none"/>
          <w:shd w:val="clear" w:color="auto" w:fill="auto"/>
          <w:lang w:eastAsia="zh-CN"/>
        </w:rPr>
        <w:t>等</w:t>
      </w:r>
      <w:r>
        <w:rPr>
          <w:rFonts w:hint="default" w:ascii="Times New Roman" w:hAnsi="Times New Roman" w:eastAsia="仿宋_GB2312" w:cs="Times New Roman"/>
          <w:color w:val="auto"/>
          <w:sz w:val="32"/>
          <w:szCs w:val="32"/>
          <w:highlight w:val="none"/>
          <w:shd w:val="clear" w:color="auto" w:fill="auto"/>
        </w:rPr>
        <w:t>城镇老旧小区改造</w:t>
      </w:r>
      <w:r>
        <w:rPr>
          <w:rFonts w:hint="default" w:ascii="Times New Roman" w:hAnsi="Times New Roman" w:eastAsia="仿宋_GB2312" w:cs="Times New Roman"/>
          <w:color w:val="auto"/>
          <w:sz w:val="32"/>
          <w:szCs w:val="32"/>
          <w:highlight w:val="none"/>
          <w:shd w:val="clear" w:color="auto" w:fill="auto"/>
          <w:lang w:eastAsia="zh-CN"/>
        </w:rPr>
        <w:t>项目</w:t>
      </w:r>
      <w:r>
        <w:rPr>
          <w:rFonts w:hint="default" w:ascii="Times New Roman" w:hAnsi="Times New Roman" w:eastAsia="仿宋_GB2312" w:cs="Times New Roman"/>
          <w:color w:val="auto"/>
          <w:sz w:val="32"/>
          <w:szCs w:val="32"/>
          <w:highlight w:val="none"/>
          <w:shd w:val="clear" w:color="auto" w:fill="auto"/>
        </w:rPr>
        <w:t>13个</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涉改住户4185户。</w:t>
      </w:r>
      <w:r>
        <w:rPr>
          <w:rFonts w:hint="default" w:ascii="Times New Roman" w:hAnsi="Times New Roman" w:eastAsia="仿宋_GB2312" w:cs="Times New Roman"/>
          <w:color w:val="auto"/>
          <w:sz w:val="32"/>
          <w:szCs w:val="32"/>
          <w:highlight w:val="none"/>
          <w:shd w:val="clear" w:color="auto" w:fill="auto"/>
          <w:lang w:eastAsia="zh-CN"/>
        </w:rPr>
        <w:t>全覆盖</w:t>
      </w:r>
      <w:r>
        <w:rPr>
          <w:rFonts w:hint="default" w:ascii="Times New Roman" w:hAnsi="Times New Roman" w:eastAsia="仿宋_GB2312" w:cs="Times New Roman"/>
          <w:color w:val="auto"/>
          <w:sz w:val="32"/>
          <w:szCs w:val="32"/>
          <w:highlight w:val="none"/>
          <w:shd w:val="clear" w:color="auto" w:fill="auto"/>
        </w:rPr>
        <w:t>对全州38家物业企业进行基本信息采集</w:t>
      </w:r>
      <w:r>
        <w:rPr>
          <w:rFonts w:hint="default" w:ascii="Times New Roman" w:hAnsi="Times New Roman" w:eastAsia="仿宋_GB2312" w:cs="Times New Roman"/>
          <w:color w:val="auto"/>
          <w:sz w:val="32"/>
          <w:szCs w:val="32"/>
          <w:highlight w:val="none"/>
          <w:shd w:val="clear" w:color="auto" w:fill="auto"/>
          <w:lang w:eastAsia="zh-CN"/>
        </w:rPr>
        <w:t>、完成</w:t>
      </w:r>
      <w:r>
        <w:rPr>
          <w:rFonts w:hint="default" w:ascii="Times New Roman" w:hAnsi="Times New Roman" w:eastAsia="仿宋_GB2312" w:cs="Times New Roman"/>
          <w:color w:val="auto"/>
          <w:sz w:val="32"/>
          <w:szCs w:val="32"/>
          <w:highlight w:val="none"/>
          <w:shd w:val="clear" w:color="auto" w:fill="auto"/>
        </w:rPr>
        <w:t>人员定岗定</w:t>
      </w:r>
      <w:r>
        <w:rPr>
          <w:rFonts w:hint="default" w:ascii="Times New Roman" w:hAnsi="Times New Roman" w:eastAsia="仿宋_GB2312" w:cs="Times New Roman"/>
          <w:color w:val="auto"/>
          <w:sz w:val="32"/>
          <w:szCs w:val="32"/>
          <w:highlight w:val="none"/>
          <w:shd w:val="clear" w:color="auto" w:fill="auto"/>
          <w:lang w:val="en-US" w:eastAsia="zh-CN"/>
        </w:rPr>
        <w:t>责</w:t>
      </w:r>
      <w:r>
        <w:rPr>
          <w:rFonts w:hint="default" w:ascii="Times New Roman" w:hAnsi="Times New Roman" w:eastAsia="仿宋_GB2312" w:cs="Times New Roman"/>
          <w:color w:val="auto"/>
          <w:sz w:val="32"/>
          <w:szCs w:val="32"/>
          <w:highlight w:val="none"/>
          <w:shd w:val="clear" w:color="auto" w:fill="auto"/>
        </w:rPr>
        <w:t>。</w:t>
      </w:r>
      <w:r>
        <w:rPr>
          <w:rFonts w:hint="eastAsia" w:ascii="Times New Roman" w:hAnsi="Times New Roman" w:eastAsia="仿宋_GB2312" w:cs="Times New Roman"/>
          <w:color w:val="auto"/>
          <w:sz w:val="32"/>
          <w:szCs w:val="32"/>
          <w:highlight w:val="none"/>
          <w:shd w:val="clear" w:color="auto" w:fill="auto"/>
          <w:lang w:eastAsia="zh-CN"/>
        </w:rPr>
        <w:t>完成</w:t>
      </w:r>
      <w:r>
        <w:rPr>
          <w:rFonts w:hint="default" w:ascii="Times New Roman" w:hAnsi="Times New Roman" w:eastAsia="仿宋_GB2312" w:cs="Times New Roman"/>
          <w:color w:val="auto"/>
          <w:sz w:val="32"/>
          <w:szCs w:val="32"/>
          <w:highlight w:val="none"/>
          <w:shd w:val="clear" w:color="auto" w:fill="auto"/>
        </w:rPr>
        <w:t>全州物业乱点乱象整治144项</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整改率100%。</w:t>
      </w:r>
      <w:r>
        <w:rPr>
          <w:rFonts w:hint="default" w:ascii="Times New Roman" w:hAnsi="Times New Roman" w:eastAsia="仿宋_GB2312" w:cs="Times New Roman"/>
          <w:b/>
          <w:bCs/>
          <w:color w:val="auto"/>
          <w:kern w:val="0"/>
          <w:sz w:val="32"/>
          <w:szCs w:val="32"/>
          <w:highlight w:val="none"/>
          <w:shd w:val="clear" w:color="auto" w:fill="auto"/>
          <w:lang w:val="en-US" w:eastAsia="zh-CN"/>
        </w:rPr>
        <w:t>二是住房市场进一步优化，</w:t>
      </w:r>
      <w:r>
        <w:rPr>
          <w:rFonts w:hint="default" w:ascii="Times New Roman" w:hAnsi="Times New Roman" w:eastAsia="仿宋_GB2312" w:cs="Times New Roman"/>
          <w:b w:val="0"/>
          <w:bCs/>
          <w:color w:val="auto"/>
          <w:kern w:val="0"/>
          <w:sz w:val="32"/>
          <w:szCs w:val="32"/>
          <w:highlight w:val="none"/>
          <w:shd w:val="clear" w:color="auto" w:fill="auto"/>
          <w:lang w:val="en-US" w:eastAsia="zh-CN"/>
        </w:rPr>
        <w:t>建立全州统一的商品房和存量房网签备案系统，实现了商品房网签备案全覆盖，存量房网签备案地区覆盖率61%。搭建川渝房地产展示</w:t>
      </w:r>
      <w:r>
        <w:rPr>
          <w:rFonts w:hint="eastAsia" w:ascii="Times New Roman" w:hAnsi="Times New Roman" w:eastAsia="仿宋_GB2312" w:cs="Times New Roman"/>
          <w:b w:val="0"/>
          <w:bCs/>
          <w:color w:val="auto"/>
          <w:kern w:val="0"/>
          <w:sz w:val="32"/>
          <w:szCs w:val="32"/>
          <w:highlight w:val="none"/>
          <w:shd w:val="clear" w:color="auto" w:fill="auto"/>
          <w:lang w:val="en-US" w:eastAsia="zh-CN"/>
        </w:rPr>
        <w:t>平台</w:t>
      </w:r>
      <w:r>
        <w:rPr>
          <w:rFonts w:hint="default" w:ascii="Times New Roman" w:hAnsi="Times New Roman" w:eastAsia="仿宋_GB2312" w:cs="Times New Roman"/>
          <w:b w:val="0"/>
          <w:bCs/>
          <w:color w:val="auto"/>
          <w:kern w:val="0"/>
          <w:sz w:val="32"/>
          <w:szCs w:val="32"/>
          <w:highlight w:val="none"/>
          <w:shd w:val="clear" w:color="auto" w:fill="auto"/>
          <w:lang w:val="en-US" w:eastAsia="zh-CN"/>
        </w:rPr>
        <w:t>阿坝州分</w:t>
      </w:r>
      <w:r>
        <w:rPr>
          <w:rFonts w:hint="eastAsia" w:ascii="Times New Roman" w:hAnsi="Times New Roman" w:eastAsia="仿宋_GB2312" w:cs="Times New Roman"/>
          <w:b w:val="0"/>
          <w:bCs/>
          <w:color w:val="auto"/>
          <w:kern w:val="0"/>
          <w:sz w:val="32"/>
          <w:szCs w:val="32"/>
          <w:highlight w:val="none"/>
          <w:shd w:val="clear" w:color="auto" w:fill="auto"/>
          <w:lang w:val="en-US" w:eastAsia="zh-CN"/>
        </w:rPr>
        <w:t>平台</w:t>
      </w:r>
      <w:r>
        <w:rPr>
          <w:rFonts w:hint="default" w:ascii="Times New Roman" w:hAnsi="Times New Roman" w:eastAsia="仿宋_GB2312" w:cs="Times New Roman"/>
          <w:b w:val="0"/>
          <w:bCs/>
          <w:color w:val="auto"/>
          <w:kern w:val="0"/>
          <w:sz w:val="32"/>
          <w:szCs w:val="32"/>
          <w:highlight w:val="none"/>
          <w:shd w:val="clear" w:color="auto" w:fill="auto"/>
          <w:lang w:val="en-US" w:eastAsia="zh-CN"/>
        </w:rPr>
        <w:t>，报请州政府出台《阿坝州商品房预售资金监管暂行办法》。2020年，全州商品房销售面积15万平方米、商品住房销售面积14万平方米；全州二手房成交面积12.8万平方米。</w:t>
      </w:r>
      <w:r>
        <w:rPr>
          <w:rFonts w:hint="default" w:ascii="Times New Roman" w:hAnsi="Times New Roman" w:eastAsia="仿宋_GB2312" w:cs="Times New Roman"/>
          <w:b/>
          <w:bCs/>
          <w:color w:val="auto"/>
          <w:sz w:val="32"/>
          <w:szCs w:val="32"/>
          <w:highlight w:val="none"/>
          <w:shd w:val="clear" w:color="auto" w:fill="auto"/>
          <w:lang w:eastAsia="zh-CN"/>
        </w:rPr>
        <w:t>三是</w:t>
      </w:r>
      <w:r>
        <w:rPr>
          <w:rFonts w:hint="default" w:ascii="Times New Roman" w:hAnsi="Times New Roman" w:eastAsia="仿宋_GB2312" w:cs="Times New Roman"/>
          <w:b/>
          <w:bCs/>
          <w:color w:val="auto"/>
          <w:sz w:val="32"/>
          <w:szCs w:val="32"/>
          <w:highlight w:val="none"/>
          <w:lang w:val="en-US" w:eastAsia="zh-CN"/>
        </w:rPr>
        <w:t>重点项目及灾后重建工作</w:t>
      </w:r>
      <w:r>
        <w:rPr>
          <w:rFonts w:hint="eastAsia" w:ascii="Times New Roman" w:hAnsi="Times New Roman" w:eastAsia="仿宋_GB2312" w:cs="Times New Roman"/>
          <w:b/>
          <w:bCs/>
          <w:color w:val="auto"/>
          <w:sz w:val="32"/>
          <w:szCs w:val="32"/>
          <w:highlight w:val="none"/>
          <w:lang w:val="en-US" w:eastAsia="zh-CN"/>
        </w:rPr>
        <w:t>顺利</w:t>
      </w:r>
      <w:r>
        <w:rPr>
          <w:rFonts w:hint="default" w:ascii="Times New Roman" w:hAnsi="Times New Roman" w:eastAsia="仿宋_GB2312" w:cs="Times New Roman"/>
          <w:b/>
          <w:bCs/>
          <w:color w:val="auto"/>
          <w:sz w:val="32"/>
          <w:szCs w:val="32"/>
          <w:highlight w:val="none"/>
          <w:lang w:val="en-US" w:eastAsia="zh-CN"/>
        </w:rPr>
        <w:t>完成，</w:t>
      </w:r>
      <w:r>
        <w:rPr>
          <w:rFonts w:hint="default" w:ascii="Times New Roman" w:hAnsi="Times New Roman" w:eastAsia="仿宋_GB2312" w:cs="Times New Roman"/>
          <w:b w:val="0"/>
          <w:bCs/>
          <w:color w:val="auto"/>
          <w:kern w:val="0"/>
          <w:sz w:val="32"/>
          <w:szCs w:val="32"/>
          <w:highlight w:val="none"/>
          <w:shd w:val="clear" w:color="auto" w:fill="auto"/>
          <w:lang w:val="en-US" w:eastAsia="zh-CN"/>
        </w:rPr>
        <w:t>完成10个省州重点项目投资9.74亿元，完成“8·8”九寨沟地震城乡住房恢复重建工作，完成汶川“8·20”、金川“6·27”、茂县“6·24”灾后恢复重建项目14个</w:t>
      </w:r>
      <w:r>
        <w:rPr>
          <w:rFonts w:hint="eastAsia" w:ascii="Times New Roman" w:hAnsi="Times New Roman" w:eastAsia="仿宋_GB2312" w:cs="Times New Roman"/>
          <w:b w:val="0"/>
          <w:bCs/>
          <w:color w:val="auto"/>
          <w:kern w:val="0"/>
          <w:sz w:val="32"/>
          <w:szCs w:val="32"/>
          <w:highlight w:val="none"/>
          <w:shd w:val="clear" w:color="auto" w:fill="auto"/>
          <w:lang w:val="en-US" w:eastAsia="zh-CN"/>
        </w:rPr>
        <w:t>，</w:t>
      </w:r>
      <w:r>
        <w:rPr>
          <w:rFonts w:hint="default" w:ascii="Times New Roman" w:hAnsi="Times New Roman" w:eastAsia="仿宋_GB2312" w:cs="Times New Roman"/>
          <w:b w:val="0"/>
          <w:bCs/>
          <w:color w:val="auto"/>
          <w:kern w:val="0"/>
          <w:sz w:val="32"/>
          <w:szCs w:val="32"/>
          <w:highlight w:val="none"/>
          <w:shd w:val="clear" w:color="auto" w:fill="auto"/>
          <w:lang w:val="en-US" w:eastAsia="zh-CN"/>
        </w:rPr>
        <w:t>涉及资金2.9255亿元。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楷体_GB2312" w:cs="Times New Roman"/>
          <w:b/>
          <w:color w:val="auto"/>
          <w:kern w:val="0"/>
          <w:sz w:val="32"/>
          <w:szCs w:val="32"/>
          <w:highlight w:val="none"/>
          <w:lang w:val="en-US" w:eastAsia="zh-CN"/>
        </w:rPr>
      </w:pPr>
      <w:r>
        <w:rPr>
          <w:rFonts w:hint="eastAsia" w:ascii="Times New Roman" w:hAnsi="Times New Roman" w:eastAsia="楷体_GB2312" w:cs="Times New Roman"/>
          <w:b/>
          <w:color w:val="auto"/>
          <w:kern w:val="0"/>
          <w:sz w:val="32"/>
          <w:szCs w:val="32"/>
          <w:highlight w:val="none"/>
          <w:lang w:val="en-US" w:eastAsia="zh-CN"/>
        </w:rPr>
        <w:t>3.</w:t>
      </w:r>
      <w:r>
        <w:rPr>
          <w:rFonts w:hint="default" w:ascii="Times New Roman" w:hAnsi="Times New Roman" w:eastAsia="楷体_GB2312" w:cs="Times New Roman"/>
          <w:b/>
          <w:color w:val="auto"/>
          <w:kern w:val="0"/>
          <w:sz w:val="32"/>
          <w:szCs w:val="32"/>
          <w:highlight w:val="none"/>
          <w:lang w:val="en-US" w:eastAsia="zh-CN"/>
        </w:rPr>
        <w:t>城市建设迈出坚实步伐。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val="en-US" w:eastAsia="zh-CN"/>
        </w:rPr>
        <w:t>一是着力补齐基础</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eastAsia="zh-CN"/>
        </w:rPr>
        <w:t>设施</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val="en-US" w:eastAsia="zh-CN"/>
        </w:rPr>
        <w:t>短板</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color w:val="auto"/>
          <w:kern w:val="0"/>
          <w:sz w:val="32"/>
          <w:szCs w:val="32"/>
          <w:highlight w:val="none"/>
          <w:shd w:val="clear" w:color="auto" w:fill="auto"/>
          <w:lang w:val="en-US" w:eastAsia="zh-CN"/>
        </w:rPr>
        <w:t>投资5.56亿元完成37个市政基础设施项目。全面完成51个污水垃圾“老三推”项目建设任务，累计完成投资11.0694亿元。7座生活垃圾热解气化设施投入试运行，5座生活垃圾处理场设施通过无害化等级评定。2020年底，县城生活垃圾无害化处理率达</w:t>
      </w:r>
      <w:r>
        <w:rPr>
          <w:rFonts w:hint="eastAsia" w:ascii="Times New Roman" w:hAnsi="Times New Roman" w:eastAsia="仿宋_GB2312" w:cs="Times New Roman"/>
          <w:sz w:val="32"/>
          <w:szCs w:val="32"/>
          <w:lang w:val="en-US" w:eastAsia="zh-CN"/>
        </w:rPr>
        <w:t>97.28</w:t>
      </w:r>
      <w:r>
        <w:rPr>
          <w:rFonts w:hint="default" w:ascii="Times New Roman" w:hAnsi="Times New Roman" w:eastAsia="仿宋_GB2312" w:cs="Times New Roman"/>
          <w:b w:val="0"/>
          <w:bCs/>
          <w:color w:val="auto"/>
          <w:kern w:val="0"/>
          <w:sz w:val="32"/>
          <w:szCs w:val="32"/>
          <w:highlight w:val="none"/>
          <w:shd w:val="clear" w:color="auto" w:fill="auto"/>
          <w:lang w:val="en-US" w:eastAsia="zh-CN"/>
        </w:rPr>
        <w:t>%，县城生活污水处理率达8</w:t>
      </w:r>
      <w:r>
        <w:rPr>
          <w:rFonts w:hint="eastAsia" w:ascii="Times New Roman" w:hAnsi="Times New Roman" w:eastAsia="仿宋_GB2312" w:cs="Times New Roman"/>
          <w:b w:val="0"/>
          <w:bCs/>
          <w:color w:val="auto"/>
          <w:kern w:val="0"/>
          <w:sz w:val="32"/>
          <w:szCs w:val="32"/>
          <w:highlight w:val="none"/>
          <w:shd w:val="clear" w:color="auto" w:fill="auto"/>
          <w:lang w:val="en-US" w:eastAsia="zh-CN"/>
        </w:rPr>
        <w:t>0.5</w:t>
      </w:r>
      <w:r>
        <w:rPr>
          <w:rFonts w:hint="default" w:ascii="Times New Roman" w:hAnsi="Times New Roman" w:eastAsia="仿宋_GB2312" w:cs="Times New Roman"/>
          <w:b w:val="0"/>
          <w:bCs/>
          <w:color w:val="auto"/>
          <w:kern w:val="0"/>
          <w:sz w:val="32"/>
          <w:szCs w:val="32"/>
          <w:highlight w:val="none"/>
          <w:shd w:val="clear" w:color="auto" w:fill="auto"/>
          <w:lang w:val="en-US" w:eastAsia="zh-CN"/>
        </w:rPr>
        <w:t>%。</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val="en-US" w:eastAsia="zh-CN"/>
        </w:rPr>
        <w:t>二是推进生活垃圾分类试点，</w:t>
      </w:r>
      <w:r>
        <w:rPr>
          <w:rFonts w:hint="default" w:ascii="Times New Roman" w:hAnsi="Times New Roman" w:eastAsia="仿宋_GB2312" w:cs="Times New Roman"/>
          <w:b w:val="0"/>
          <w:bCs w:val="0"/>
          <w:color w:val="auto"/>
          <w:sz w:val="32"/>
          <w:szCs w:val="32"/>
          <w:highlight w:val="none"/>
          <w:shd w:val="clear" w:color="auto" w:fill="auto"/>
        </w:rPr>
        <w:t>出台《阿坝州生活垃圾分类和处置工作实施方案》</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启动</w:t>
      </w:r>
      <w:r>
        <w:rPr>
          <w:rFonts w:hint="default" w:ascii="Times New Roman" w:hAnsi="Times New Roman" w:eastAsia="仿宋_GB2312" w:cs="Times New Roman"/>
          <w:b w:val="0"/>
          <w:bCs w:val="0"/>
          <w:color w:val="auto"/>
          <w:sz w:val="32"/>
          <w:szCs w:val="32"/>
          <w:highlight w:val="none"/>
          <w:shd w:val="clear" w:color="auto" w:fill="auto"/>
        </w:rPr>
        <w:t>马尔康市、九寨沟县生活垃圾分类试点。</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val="en-US" w:eastAsia="zh-CN"/>
        </w:rPr>
        <w:t>三是推进供暖设施建设，</w:t>
      </w:r>
      <w:r>
        <w:rPr>
          <w:rFonts w:hint="default" w:ascii="Times New Roman" w:hAnsi="Times New Roman" w:eastAsia="仿宋_GB2312" w:cs="Times New Roman"/>
          <w:b w:val="0"/>
          <w:bCs/>
          <w:color w:val="auto"/>
          <w:kern w:val="0"/>
          <w:sz w:val="32"/>
          <w:szCs w:val="32"/>
          <w:highlight w:val="none"/>
          <w:shd w:val="clear" w:color="auto" w:fill="auto"/>
          <w:lang w:val="en-US" w:eastAsia="zh-CN"/>
        </w:rPr>
        <w:t>争取城市供暖工程中央资金1.2708亿元，完成马尔康市供暖项目80%工程量，实现壤塘县集中供暖试运行。</w:t>
      </w:r>
      <w:r>
        <w:rPr>
          <w:rFonts w:hint="default" w:ascii="Times New Roman" w:hAnsi="Times New Roman" w:eastAsia="仿宋_GB2312" w:cs="Times New Roman"/>
          <w:b/>
          <w:bCs w:val="0"/>
          <w:color w:val="auto"/>
          <w:kern w:val="0"/>
          <w:sz w:val="32"/>
          <w:szCs w:val="32"/>
          <w:highlight w:val="none"/>
          <w:shd w:val="clear" w:color="auto" w:fill="auto"/>
          <w:lang w:val="en-US" w:eastAsia="zh-CN"/>
        </w:rPr>
        <w:t>四</w:t>
      </w:r>
      <w:r>
        <w:rPr>
          <w:rFonts w:hint="default" w:ascii="Times New Roman" w:hAnsi="Times New Roman" w:eastAsia="仿宋_GB2312" w:cs="Times New Roman"/>
          <w:b/>
          <w:color w:val="auto"/>
          <w:sz w:val="32"/>
          <w:szCs w:val="32"/>
          <w:highlight w:val="none"/>
          <w:lang w:val="en-US" w:eastAsia="zh-CN"/>
        </w:rPr>
        <w:t>是推进文化</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eastAsia="zh-CN"/>
        </w:rPr>
        <w:t>保护</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val="en-US" w:eastAsia="zh-CN"/>
        </w:rPr>
        <w:t>利用，</w:t>
      </w:r>
      <w:r>
        <w:rPr>
          <w:rFonts w:hint="default" w:ascii="Times New Roman" w:hAnsi="Times New Roman" w:eastAsia="仿宋_GB2312" w:cs="Times New Roman"/>
          <w:b w:val="0"/>
          <w:bCs w:val="0"/>
          <w:color w:val="auto"/>
          <w:sz w:val="32"/>
          <w:szCs w:val="32"/>
          <w:highlight w:val="none"/>
          <w:shd w:val="clear" w:color="auto" w:fill="auto"/>
          <w:lang w:val="en-US" w:eastAsia="zh-CN"/>
        </w:rPr>
        <w:t>完成松潘县3条历史文化街区申报，普查历史建筑11处，启动马尔康市、松潘县历史建筑测绘建档工作。</w:t>
      </w:r>
      <w:r>
        <w:rPr>
          <w:rFonts w:hint="default" w:ascii="Times New Roman" w:hAnsi="Times New Roman" w:eastAsia="仿宋_GB2312" w:cs="Times New Roman"/>
          <w:b/>
          <w:bCs/>
          <w:color w:val="auto"/>
          <w:sz w:val="32"/>
          <w:szCs w:val="32"/>
          <w:highlight w:val="none"/>
          <w:shd w:val="clear" w:color="auto" w:fill="auto"/>
          <w:lang w:val="en-US" w:eastAsia="zh-CN"/>
        </w:rPr>
        <w:t>五</w:t>
      </w:r>
      <w:r>
        <w:rPr>
          <w:rFonts w:hint="default" w:ascii="Times New Roman" w:hAnsi="Times New Roman" w:eastAsia="仿宋_GB2312" w:cs="Times New Roman"/>
          <w:b/>
          <w:bCs/>
          <w:i w:val="0"/>
          <w:caps w:val="0"/>
          <w:smallCaps w:val="0"/>
          <w:color w:val="auto"/>
          <w:spacing w:val="0"/>
          <w:sz w:val="32"/>
          <w:szCs w:val="32"/>
          <w:highlight w:val="none"/>
          <w:shd w:val="clear" w:color="auto" w:fill="auto"/>
          <w:lang w:eastAsia="zh-CN"/>
        </w:rPr>
        <w:t>是</w:t>
      </w:r>
      <w:r>
        <w:rPr>
          <w:rFonts w:hint="default" w:ascii="Times New Roman" w:hAnsi="Times New Roman" w:eastAsia="仿宋_GB2312" w:cs="Times New Roman"/>
          <w:b/>
          <w:bCs/>
          <w:i w:val="0"/>
          <w:caps w:val="0"/>
          <w:smallCaps w:val="0"/>
          <w:color w:val="auto"/>
          <w:spacing w:val="0"/>
          <w:sz w:val="32"/>
          <w:szCs w:val="32"/>
          <w:highlight w:val="none"/>
          <w:shd w:val="clear" w:color="auto" w:fill="auto"/>
          <w:lang w:val="en-US" w:eastAsia="zh-CN"/>
        </w:rPr>
        <w:t>推进</w:t>
      </w:r>
      <w:r>
        <w:rPr>
          <w:rFonts w:hint="default" w:ascii="Times New Roman" w:hAnsi="Times New Roman" w:eastAsia="仿宋_GB2312" w:cs="Times New Roman"/>
          <w:b/>
          <w:bCs/>
          <w:i w:val="0"/>
          <w:caps w:val="0"/>
          <w:smallCaps w:val="0"/>
          <w:color w:val="auto"/>
          <w:spacing w:val="0"/>
          <w:sz w:val="32"/>
          <w:szCs w:val="32"/>
          <w:highlight w:val="none"/>
          <w:shd w:val="clear" w:color="auto" w:fill="auto"/>
        </w:rPr>
        <w:t>“双百工程”建设</w:t>
      </w:r>
      <w:r>
        <w:rPr>
          <w:rFonts w:hint="default" w:ascii="Times New Roman" w:hAnsi="Times New Roman" w:eastAsia="仿宋_GB2312" w:cs="Times New Roman"/>
          <w:b/>
          <w:bCs/>
          <w:i w:val="0"/>
          <w:caps w:val="0"/>
          <w:smallCaps w:val="0"/>
          <w:color w:val="auto"/>
          <w:spacing w:val="0"/>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抓好修复城市生态、修补城市功能十大任务</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完成园林绿化项目投资1671万元</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完成城市（县城）建成区范围内古树名木调查挂牌。</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val="en-US" w:eastAsia="zh-CN"/>
        </w:rPr>
        <w:t>六是推进生态环保问题整改，</w:t>
      </w:r>
      <w:r>
        <w:rPr>
          <w:rFonts w:hint="default" w:ascii="Times New Roman" w:hAnsi="Times New Roman" w:eastAsia="仿宋_GB2312" w:cs="Times New Roman"/>
          <w:b w:val="0"/>
          <w:bCs w:val="0"/>
          <w:color w:val="auto"/>
          <w:sz w:val="32"/>
          <w:szCs w:val="32"/>
          <w:highlight w:val="none"/>
          <w:shd w:val="clear" w:color="auto" w:fill="auto"/>
          <w:lang w:eastAsia="zh-CN"/>
        </w:rPr>
        <w:t>完成</w:t>
      </w:r>
      <w:r>
        <w:rPr>
          <w:rFonts w:hint="default" w:ascii="Times New Roman" w:hAnsi="Times New Roman" w:eastAsia="仿宋_GB2312" w:cs="Times New Roman"/>
          <w:b w:val="0"/>
          <w:bCs w:val="0"/>
          <w:color w:val="auto"/>
          <w:sz w:val="32"/>
          <w:szCs w:val="32"/>
          <w:highlight w:val="none"/>
          <w:shd w:val="clear" w:color="auto" w:fill="auto"/>
          <w:lang w:val="en-US" w:eastAsia="zh-CN"/>
        </w:rPr>
        <w:t>8</w:t>
      </w:r>
      <w:r>
        <w:rPr>
          <w:rFonts w:hint="default" w:ascii="Times New Roman" w:hAnsi="Times New Roman" w:eastAsia="仿宋_GB2312" w:cs="Times New Roman"/>
          <w:b w:val="0"/>
          <w:bCs w:val="0"/>
          <w:color w:val="auto"/>
          <w:sz w:val="32"/>
          <w:szCs w:val="32"/>
          <w:highlight w:val="none"/>
          <w:shd w:val="clear" w:color="auto" w:fill="auto"/>
        </w:rPr>
        <w:t>个中</w:t>
      </w:r>
      <w:r>
        <w:rPr>
          <w:rFonts w:hint="default" w:ascii="Times New Roman" w:hAnsi="Times New Roman" w:eastAsia="仿宋_GB2312" w:cs="Times New Roman"/>
          <w:b w:val="0"/>
          <w:bCs w:val="0"/>
          <w:color w:val="auto"/>
          <w:sz w:val="32"/>
          <w:szCs w:val="32"/>
          <w:highlight w:val="none"/>
          <w:shd w:val="clear" w:color="auto" w:fill="auto"/>
          <w:lang w:eastAsia="zh-CN"/>
        </w:rPr>
        <w:t>省</w:t>
      </w:r>
      <w:r>
        <w:rPr>
          <w:rFonts w:hint="default" w:ascii="Times New Roman" w:hAnsi="Times New Roman" w:eastAsia="仿宋_GB2312" w:cs="Times New Roman"/>
          <w:b w:val="0"/>
          <w:bCs w:val="0"/>
          <w:color w:val="auto"/>
          <w:sz w:val="32"/>
          <w:szCs w:val="32"/>
          <w:highlight w:val="none"/>
          <w:shd w:val="clear" w:color="auto" w:fill="auto"/>
        </w:rPr>
        <w:t>环保督察反馈问题</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4</w:t>
      </w:r>
      <w:r>
        <w:rPr>
          <w:rFonts w:hint="default" w:ascii="Times New Roman" w:hAnsi="Times New Roman" w:eastAsia="仿宋_GB2312" w:cs="Times New Roman"/>
          <w:b w:val="0"/>
          <w:bCs w:val="0"/>
          <w:color w:val="auto"/>
          <w:sz w:val="32"/>
          <w:szCs w:val="32"/>
          <w:highlight w:val="none"/>
          <w:shd w:val="clear" w:color="auto" w:fill="auto"/>
        </w:rPr>
        <w:t>个长江流域</w:t>
      </w:r>
      <w:r>
        <w:rPr>
          <w:rFonts w:hint="default" w:ascii="Times New Roman" w:hAnsi="Times New Roman" w:eastAsia="仿宋_GB2312" w:cs="Times New Roman"/>
          <w:b w:val="0"/>
          <w:bCs w:val="0"/>
          <w:color w:val="auto"/>
          <w:sz w:val="32"/>
          <w:szCs w:val="32"/>
          <w:highlight w:val="none"/>
          <w:shd w:val="clear" w:color="auto" w:fill="auto"/>
          <w:lang w:val="en-US" w:eastAsia="zh-CN"/>
        </w:rPr>
        <w:t>省级自查</w:t>
      </w:r>
      <w:r>
        <w:rPr>
          <w:rFonts w:hint="default" w:ascii="Times New Roman" w:hAnsi="Times New Roman" w:eastAsia="仿宋_GB2312" w:cs="Times New Roman"/>
          <w:b w:val="0"/>
          <w:bCs w:val="0"/>
          <w:color w:val="auto"/>
          <w:sz w:val="32"/>
          <w:szCs w:val="32"/>
          <w:highlight w:val="none"/>
          <w:shd w:val="clear" w:color="auto" w:fill="auto"/>
        </w:rPr>
        <w:t>问题</w:t>
      </w:r>
      <w:r>
        <w:rPr>
          <w:rFonts w:hint="default" w:ascii="Times New Roman" w:hAnsi="Times New Roman" w:eastAsia="仿宋_GB2312" w:cs="Times New Roman"/>
          <w:b w:val="0"/>
          <w:bCs w:val="0"/>
          <w:color w:val="auto"/>
          <w:sz w:val="32"/>
          <w:szCs w:val="32"/>
          <w:highlight w:val="none"/>
          <w:shd w:val="clear" w:color="auto" w:fill="auto"/>
          <w:lang w:eastAsia="zh-CN"/>
        </w:rPr>
        <w:t>整改工作，</w:t>
      </w:r>
      <w:r>
        <w:rPr>
          <w:rFonts w:hint="default" w:ascii="Times New Roman" w:hAnsi="Times New Roman" w:eastAsia="仿宋_GB2312" w:cs="Times New Roman"/>
          <w:b w:val="0"/>
          <w:bCs w:val="0"/>
          <w:color w:val="auto"/>
          <w:sz w:val="32"/>
          <w:szCs w:val="32"/>
          <w:highlight w:val="none"/>
          <w:shd w:val="clear" w:color="auto" w:fill="auto"/>
          <w:lang w:val="en-US" w:eastAsia="zh-CN"/>
        </w:rPr>
        <w:t>启动黄河流域暗访督查发现问题整改。</w:t>
      </w:r>
      <w:r>
        <w:rPr>
          <w:rFonts w:hint="default" w:ascii="Times New Roman" w:hAnsi="Times New Roman" w:eastAsia="仿宋_GB2312" w:cs="Times New Roman"/>
          <w:b/>
          <w:bCs/>
          <w:color w:val="auto"/>
          <w:sz w:val="32"/>
          <w:szCs w:val="32"/>
          <w:highlight w:val="none"/>
          <w:shd w:val="clear" w:color="auto" w:fill="auto"/>
          <w:lang w:eastAsia="zh-CN"/>
        </w:rPr>
        <w:t>七是</w:t>
      </w:r>
      <w:r>
        <w:rPr>
          <w:rFonts w:hint="default" w:ascii="Times New Roman" w:hAnsi="Times New Roman" w:eastAsia="仿宋_GB2312" w:cs="Times New Roman"/>
          <w:b/>
          <w:bCs/>
          <w:color w:val="auto"/>
          <w:sz w:val="32"/>
          <w:szCs w:val="32"/>
          <w:highlight w:val="none"/>
          <w:shd w:val="clear" w:color="auto" w:fill="auto"/>
          <w:lang w:val="en-US" w:eastAsia="zh-CN"/>
        </w:rPr>
        <w:t>启动“十四五”住房规划、</w:t>
      </w:r>
      <w:r>
        <w:rPr>
          <w:rFonts w:hint="default" w:ascii="Times New Roman" w:hAnsi="Times New Roman" w:eastAsia="仿宋_GB2312" w:cs="Times New Roman"/>
          <w:b/>
          <w:bCs w:val="0"/>
          <w:color w:val="auto"/>
          <w:kern w:val="0"/>
          <w:sz w:val="32"/>
          <w:szCs w:val="32"/>
          <w:highlight w:val="none"/>
          <w:shd w:val="clear" w:color="auto" w:fill="auto"/>
          <w:lang w:val="en-US" w:eastAsia="zh-CN"/>
        </w:rPr>
        <w:t>住房和城乡建设事业发展规划，</w:t>
      </w:r>
      <w:r>
        <w:rPr>
          <w:rFonts w:hint="default" w:ascii="Times New Roman" w:hAnsi="Times New Roman" w:eastAsia="仿宋_GB2312" w:cs="Times New Roman"/>
          <w:b w:val="0"/>
          <w:bCs/>
          <w:color w:val="auto"/>
          <w:kern w:val="0"/>
          <w:sz w:val="32"/>
          <w:szCs w:val="32"/>
          <w:highlight w:val="none"/>
          <w:shd w:val="clear" w:color="auto" w:fill="auto"/>
          <w:lang w:val="en-US" w:eastAsia="zh-CN"/>
        </w:rPr>
        <w:t>储备新型城镇化建设项目566个363.9亿元，储备“十四五”涉藏专项住建领域建设项目158个35.6亿元。</w:t>
      </w:r>
      <w:r>
        <w:rPr>
          <w:rFonts w:hint="default" w:ascii="Times New Roman" w:hAnsi="Times New Roman" w:eastAsia="仿宋_GB2312" w:cs="Times New Roman"/>
          <w:b/>
          <w:bCs/>
          <w:color w:val="auto"/>
          <w:sz w:val="32"/>
          <w:szCs w:val="32"/>
          <w:highlight w:val="none"/>
          <w:shd w:val="clear" w:color="auto" w:fill="auto"/>
          <w:lang w:eastAsia="zh-CN"/>
        </w:rPr>
        <w:t>八是积极筹备全省文化和旅游发展大会，</w:t>
      </w:r>
      <w:r>
        <w:rPr>
          <w:rFonts w:hint="default" w:ascii="Times New Roman" w:hAnsi="Times New Roman" w:eastAsia="仿宋_GB2312" w:cs="Times New Roman"/>
          <w:b w:val="0"/>
          <w:bCs w:val="0"/>
          <w:color w:val="auto"/>
          <w:sz w:val="32"/>
          <w:szCs w:val="32"/>
          <w:highlight w:val="none"/>
          <w:shd w:val="clear" w:color="auto" w:fill="auto"/>
          <w:lang w:eastAsia="zh-CN"/>
        </w:rPr>
        <w:t>开展6个提升行动和3个专项整治，</w:t>
      </w:r>
      <w:r>
        <w:rPr>
          <w:rFonts w:hint="default" w:ascii="Times New Roman" w:hAnsi="Times New Roman" w:eastAsia="仿宋_GB2312" w:cs="Times New Roman"/>
          <w:b w:val="0"/>
          <w:bCs w:val="0"/>
          <w:color w:val="auto"/>
          <w:sz w:val="32"/>
          <w:szCs w:val="32"/>
          <w:highlight w:val="none"/>
          <w:shd w:val="clear" w:color="auto" w:fill="auto"/>
          <w:lang w:val="en-US" w:eastAsia="zh-CN"/>
        </w:rPr>
        <w:t>成立</w:t>
      </w:r>
      <w:r>
        <w:rPr>
          <w:rFonts w:hint="default" w:ascii="Times New Roman" w:hAnsi="Times New Roman" w:eastAsia="仿宋_GB2312" w:cs="Times New Roman"/>
          <w:b w:val="0"/>
          <w:bCs w:val="0"/>
          <w:color w:val="auto"/>
          <w:sz w:val="32"/>
          <w:szCs w:val="32"/>
          <w:highlight w:val="none"/>
          <w:shd w:val="clear" w:color="auto" w:fill="auto"/>
          <w:lang w:eastAsia="zh-CN"/>
        </w:rPr>
        <w:t>6个工作组实地踏勘</w:t>
      </w:r>
      <w:r>
        <w:rPr>
          <w:rFonts w:hint="default" w:ascii="Times New Roman" w:hAnsi="Times New Roman" w:eastAsia="仿宋_GB2312" w:cs="Times New Roman"/>
          <w:b w:val="0"/>
          <w:bCs w:val="0"/>
          <w:color w:val="auto"/>
          <w:sz w:val="32"/>
          <w:szCs w:val="32"/>
          <w:highlight w:val="none"/>
          <w:shd w:val="clear" w:color="auto" w:fill="auto"/>
          <w:lang w:val="en-US" w:eastAsia="zh-CN"/>
        </w:rPr>
        <w:t>调研</w:t>
      </w:r>
      <w:r>
        <w:rPr>
          <w:rFonts w:hint="default" w:ascii="Times New Roman" w:hAnsi="Times New Roman" w:eastAsia="仿宋_GB2312" w:cs="Times New Roman"/>
          <w:b w:val="0"/>
          <w:bCs w:val="0"/>
          <w:color w:val="auto"/>
          <w:sz w:val="32"/>
          <w:szCs w:val="32"/>
          <w:highlight w:val="none"/>
          <w:shd w:val="clear" w:color="auto" w:fill="auto"/>
          <w:lang w:eastAsia="zh-CN"/>
        </w:rPr>
        <w:t>全州环境</w:t>
      </w:r>
      <w:r>
        <w:rPr>
          <w:rFonts w:hint="default" w:ascii="Times New Roman" w:hAnsi="Times New Roman" w:eastAsia="仿宋_GB2312" w:cs="Times New Roman"/>
          <w:b w:val="0"/>
          <w:bCs w:val="0"/>
          <w:color w:val="auto"/>
          <w:sz w:val="32"/>
          <w:szCs w:val="32"/>
          <w:highlight w:val="none"/>
          <w:shd w:val="clear" w:color="auto" w:fill="auto"/>
          <w:lang w:val="en-US" w:eastAsia="zh-CN"/>
        </w:rPr>
        <w:t>整治</w:t>
      </w:r>
      <w:r>
        <w:rPr>
          <w:rFonts w:hint="default" w:ascii="Times New Roman" w:hAnsi="Times New Roman" w:eastAsia="仿宋_GB2312" w:cs="Times New Roman"/>
          <w:b w:val="0"/>
          <w:bCs w:val="0"/>
          <w:color w:val="auto"/>
          <w:sz w:val="32"/>
          <w:szCs w:val="32"/>
          <w:highlight w:val="none"/>
          <w:shd w:val="clear" w:color="auto" w:fill="auto"/>
          <w:lang w:eastAsia="zh-CN"/>
        </w:rPr>
        <w:t>情况、</w:t>
      </w:r>
      <w:r>
        <w:rPr>
          <w:rFonts w:hint="default" w:ascii="Times New Roman" w:hAnsi="Times New Roman" w:eastAsia="仿宋_GB2312" w:cs="Times New Roman"/>
          <w:b w:val="0"/>
          <w:bCs w:val="0"/>
          <w:color w:val="auto"/>
          <w:sz w:val="32"/>
          <w:szCs w:val="32"/>
          <w:highlight w:val="none"/>
          <w:shd w:val="clear" w:color="auto" w:fill="auto"/>
        </w:rPr>
        <w:t>专题调查旅游沿线公厕</w:t>
      </w:r>
      <w:r>
        <w:rPr>
          <w:rFonts w:hint="default" w:ascii="Times New Roman" w:hAnsi="Times New Roman" w:eastAsia="仿宋_GB2312" w:cs="Times New Roman"/>
          <w:b w:val="0"/>
          <w:bCs w:val="0"/>
          <w:color w:val="auto"/>
          <w:sz w:val="32"/>
          <w:szCs w:val="32"/>
          <w:highlight w:val="none"/>
          <w:shd w:val="clear" w:color="auto" w:fill="auto"/>
          <w:lang w:eastAsia="zh-CN"/>
        </w:rPr>
        <w:t>情况，初步</w:t>
      </w:r>
      <w:r>
        <w:rPr>
          <w:rFonts w:hint="default" w:ascii="Times New Roman" w:hAnsi="Times New Roman" w:eastAsia="仿宋_GB2312" w:cs="Times New Roman"/>
          <w:b w:val="0"/>
          <w:bCs w:val="0"/>
          <w:color w:val="auto"/>
          <w:sz w:val="32"/>
          <w:szCs w:val="32"/>
          <w:highlight w:val="none"/>
          <w:shd w:val="clear" w:color="auto" w:fill="auto"/>
        </w:rPr>
        <w:t>形成75个问题清单</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82个公厕新（改）建项目清单</w:t>
      </w:r>
      <w:r>
        <w:rPr>
          <w:rFonts w:hint="default" w:ascii="Times New Roman" w:hAnsi="Times New Roman" w:eastAsia="仿宋_GB2312" w:cs="Times New Roman"/>
          <w:b w:val="0"/>
          <w:bCs w:val="0"/>
          <w:color w:val="auto"/>
          <w:sz w:val="32"/>
          <w:szCs w:val="32"/>
          <w:highlight w:val="none"/>
          <w:shd w:val="clear" w:color="auto" w:fill="auto"/>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shd w:val="clear" w:color="auto" w:fill="auto"/>
          <w:lang w:val="en-US" w:eastAsia="zh-CN"/>
        </w:rPr>
      </w:pPr>
      <w:r>
        <w:rPr>
          <w:rFonts w:hint="eastAsia" w:ascii="Times New Roman" w:hAnsi="Times New Roman" w:eastAsia="楷体_GB2312" w:cs="Times New Roman"/>
          <w:b/>
          <w:bCs/>
          <w:color w:val="auto"/>
          <w:sz w:val="32"/>
          <w:szCs w:val="32"/>
          <w:highlight w:val="none"/>
          <w:shd w:val="clear" w:color="auto" w:fill="auto"/>
          <w:lang w:val="en-US" w:eastAsia="zh-CN"/>
        </w:rPr>
        <w:t>4.</w:t>
      </w:r>
      <w:r>
        <w:rPr>
          <w:rFonts w:hint="default" w:ascii="Times New Roman" w:hAnsi="Times New Roman" w:eastAsia="楷体_GB2312" w:cs="Times New Roman"/>
          <w:b/>
          <w:bCs/>
          <w:color w:val="auto"/>
          <w:kern w:val="0"/>
          <w:sz w:val="32"/>
          <w:szCs w:val="32"/>
          <w:highlight w:val="none"/>
          <w:shd w:val="clear" w:color="auto" w:fill="auto"/>
          <w:lang w:val="en-US" w:eastAsia="zh-CN"/>
        </w:rPr>
        <w:t>村镇面貌显著改善。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 w:cs="Times New Roman"/>
          <w:b/>
          <w:bCs/>
          <w:color w:val="auto"/>
          <w:sz w:val="32"/>
          <w:szCs w:val="32"/>
          <w:highlight w:val="none"/>
          <w:shd w:val="clear" w:color="auto" w:fill="FFFFFF"/>
          <w:lang w:eastAsia="zh-CN"/>
        </w:rPr>
        <w:t>一是推进“百镇建设行动”试点镇建设，</w:t>
      </w:r>
      <w:r>
        <w:rPr>
          <w:rFonts w:hint="default" w:ascii="Times New Roman" w:hAnsi="Times New Roman" w:eastAsia="仿宋_GB2312" w:cs="Times New Roman"/>
          <w:b w:val="0"/>
          <w:bCs w:val="0"/>
          <w:color w:val="auto"/>
          <w:sz w:val="32"/>
          <w:szCs w:val="32"/>
          <w:highlight w:val="none"/>
          <w:shd w:val="clear" w:color="auto" w:fill="auto"/>
        </w:rPr>
        <w:t>茂县叠溪镇、壤塘县中壤塘镇通过省级考核验收</w:t>
      </w:r>
      <w:r>
        <w:rPr>
          <w:rFonts w:hint="default" w:ascii="Times New Roman" w:hAnsi="Times New Roman" w:eastAsia="仿宋_GB2312" w:cs="Times New Roman"/>
          <w:b w:val="0"/>
          <w:bCs w:val="0"/>
          <w:color w:val="auto"/>
          <w:sz w:val="32"/>
          <w:szCs w:val="32"/>
          <w:highlight w:val="none"/>
          <w:shd w:val="clear" w:color="auto" w:fill="auto"/>
          <w:lang w:eastAsia="zh-CN"/>
        </w:rPr>
        <w:t>，成功申请</w:t>
      </w:r>
      <w:r>
        <w:rPr>
          <w:rFonts w:hint="default" w:ascii="Times New Roman" w:hAnsi="Times New Roman" w:eastAsia="仿宋_GB2312" w:cs="Times New Roman"/>
          <w:b w:val="0"/>
          <w:bCs w:val="0"/>
          <w:color w:val="auto"/>
          <w:sz w:val="32"/>
          <w:szCs w:val="32"/>
          <w:highlight w:val="none"/>
          <w:shd w:val="clear" w:color="auto" w:fill="auto"/>
        </w:rPr>
        <w:t>专项资金1058万元</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rPr>
        <w:t>有序启动全州省级百强中心镇备案入库工作。</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eastAsia="zh-CN"/>
        </w:rPr>
        <w:t>是</w:t>
      </w:r>
      <w:r>
        <w:rPr>
          <w:rFonts w:hint="default" w:ascii="Times New Roman" w:hAnsi="Times New Roman" w:eastAsia="仿宋_GB2312" w:cs="Times New Roman"/>
          <w:b/>
          <w:bCs/>
          <w:color w:val="auto"/>
          <w:sz w:val="32"/>
          <w:szCs w:val="32"/>
          <w:highlight w:val="none"/>
          <w:lang w:val="en-US" w:eastAsia="zh-CN"/>
        </w:rPr>
        <w:t>实施村镇</w:t>
      </w:r>
      <w:r>
        <w:rPr>
          <w:rFonts w:hint="default" w:ascii="Times New Roman" w:hAnsi="Times New Roman" w:eastAsia="仿宋_GB2312" w:cs="Times New Roman"/>
          <w:b/>
          <w:bCs/>
          <w:color w:val="auto"/>
          <w:sz w:val="32"/>
          <w:szCs w:val="32"/>
          <w:highlight w:val="none"/>
          <w:lang w:eastAsia="zh-CN"/>
        </w:rPr>
        <w:t>垃圾污水</w:t>
      </w:r>
      <w:r>
        <w:rPr>
          <w:rFonts w:hint="default" w:ascii="Times New Roman" w:hAnsi="Times New Roman" w:eastAsia="仿宋_GB2312" w:cs="Times New Roman"/>
          <w:b/>
          <w:bCs/>
          <w:color w:val="auto"/>
          <w:sz w:val="32"/>
          <w:szCs w:val="32"/>
          <w:highlight w:val="none"/>
          <w:lang w:val="en-US" w:eastAsia="zh-CN"/>
        </w:rPr>
        <w:t>治理，</w:t>
      </w:r>
      <w:r>
        <w:rPr>
          <w:rFonts w:hint="default" w:ascii="Times New Roman" w:hAnsi="Times New Roman" w:eastAsia="仿宋_GB2312" w:cs="Times New Roman"/>
          <w:color w:val="auto"/>
          <w:sz w:val="32"/>
          <w:szCs w:val="32"/>
          <w:highlight w:val="none"/>
        </w:rPr>
        <w:t>全面完成全州2处（理县米亚罗、阿坝麦昆）非正规垃圾堆放点销号工作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初步建成和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技改</w:t>
      </w:r>
      <w:r>
        <w:rPr>
          <w:rFonts w:hint="default" w:ascii="Times New Roman" w:hAnsi="Times New Roman" w:eastAsia="仿宋_GB2312" w:cs="Times New Roman"/>
          <w:color w:val="auto"/>
          <w:sz w:val="32"/>
          <w:szCs w:val="32"/>
          <w:highlight w:val="none"/>
        </w:rPr>
        <w:t>建制镇污水处理设施10处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建制镇污水设施覆盖率达64%、处理率36%。积极推进农村生活垃圾治理工作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全州农村生活垃圾收转运覆盖行政村达77%。</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val="en-US" w:eastAsia="zh-CN"/>
        </w:rPr>
        <w:t>三</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eastAsia="zh-CN"/>
        </w:rPr>
        <w:t>是</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val="en-US" w:eastAsia="zh-CN"/>
        </w:rPr>
        <w:t>推进</w:t>
      </w:r>
      <w:r>
        <w:rPr>
          <w:rFonts w:hint="default" w:ascii="Times New Roman" w:hAnsi="Times New Roman" w:eastAsia="仿宋_GB2312" w:cs="Times New Roman"/>
          <w:b/>
          <w:bCs w:val="0"/>
          <w:i w:val="0"/>
          <w:caps w:val="0"/>
          <w:smallCaps w:val="0"/>
          <w:color w:val="auto"/>
          <w:spacing w:val="0"/>
          <w:sz w:val="32"/>
          <w:szCs w:val="32"/>
          <w:highlight w:val="none"/>
          <w:shd w:val="clear" w:color="auto" w:fill="FFFFFF"/>
          <w:lang w:eastAsia="zh-CN"/>
        </w:rPr>
        <w:t>厕所革命，</w:t>
      </w:r>
      <w:r>
        <w:rPr>
          <w:rFonts w:hint="default" w:ascii="Times New Roman" w:hAnsi="Times New Roman" w:eastAsia="仿宋_GB2312" w:cs="Times New Roman"/>
          <w:b w:val="0"/>
          <w:bCs w:val="0"/>
          <w:color w:val="auto"/>
          <w:sz w:val="32"/>
          <w:szCs w:val="32"/>
          <w:highlight w:val="none"/>
          <w:shd w:val="clear" w:color="auto" w:fill="auto"/>
          <w:lang w:val="en-US" w:eastAsia="zh-CN"/>
        </w:rPr>
        <w:t>完成</w:t>
      </w:r>
      <w:r>
        <w:rPr>
          <w:rFonts w:hint="default" w:ascii="Times New Roman" w:hAnsi="Times New Roman" w:eastAsia="仿宋_GB2312" w:cs="Times New Roman"/>
          <w:b w:val="0"/>
          <w:bCs w:val="0"/>
          <w:color w:val="auto"/>
          <w:sz w:val="32"/>
          <w:szCs w:val="32"/>
          <w:highlight w:val="none"/>
          <w:shd w:val="clear" w:color="auto" w:fill="auto"/>
        </w:rPr>
        <w:t>《阿坝州公共厕所专项规划》</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新改建公厕174座（新建53座、改建121座）、农村户厕13704座（新建3381座、改建10323座）</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bCs/>
          <w:color w:val="auto"/>
          <w:sz w:val="32"/>
          <w:szCs w:val="32"/>
          <w:highlight w:val="none"/>
          <w:lang w:eastAsia="zh-CN"/>
        </w:rPr>
        <w:t>四是推进</w:t>
      </w:r>
      <w:r>
        <w:rPr>
          <w:rFonts w:hint="default" w:ascii="Times New Roman" w:hAnsi="Times New Roman" w:eastAsia="仿宋_GB2312" w:cs="Times New Roman"/>
          <w:b/>
          <w:bCs/>
          <w:color w:val="auto"/>
          <w:sz w:val="32"/>
          <w:szCs w:val="32"/>
          <w:highlight w:val="none"/>
        </w:rPr>
        <w:t>传统村落</w:t>
      </w:r>
      <w:r>
        <w:rPr>
          <w:rFonts w:hint="default" w:ascii="Times New Roman" w:hAnsi="Times New Roman" w:eastAsia="仿宋_GB2312" w:cs="Times New Roman"/>
          <w:b/>
          <w:bCs/>
          <w:color w:val="auto"/>
          <w:sz w:val="32"/>
          <w:szCs w:val="32"/>
          <w:highlight w:val="none"/>
          <w:lang w:eastAsia="zh-CN"/>
        </w:rPr>
        <w:t>申报</w:t>
      </w:r>
      <w:r>
        <w:rPr>
          <w:rFonts w:hint="default" w:ascii="Times New Roman" w:hAnsi="Times New Roman" w:eastAsia="仿宋_GB2312" w:cs="Times New Roman"/>
          <w:b/>
          <w:bCs/>
          <w:color w:val="auto"/>
          <w:sz w:val="32"/>
          <w:szCs w:val="32"/>
          <w:highlight w:val="none"/>
        </w:rPr>
        <w:t>和古镇保护</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编制《阿坝州传统村落保护利用规划》，</w:t>
      </w:r>
      <w:r>
        <w:rPr>
          <w:rFonts w:hint="default" w:ascii="Times New Roman" w:hAnsi="Times New Roman" w:eastAsia="仿宋_GB2312" w:cs="Times New Roman"/>
          <w:color w:val="auto"/>
          <w:sz w:val="32"/>
          <w:szCs w:val="32"/>
          <w:highlight w:val="none"/>
        </w:rPr>
        <w:t>我州理县薛城镇、汶川</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水磨镇入选四川省最美古镇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壤塘县中壤塘镇壤塘村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九寨沟县大录乡大录村入选四川省最美古镇最美古村落。</w:t>
      </w:r>
      <w:r>
        <w:rPr>
          <w:rFonts w:hint="default" w:ascii="Times New Roman" w:hAnsi="Times New Roman" w:eastAsia="仿宋_GB2312" w:cs="Times New Roman"/>
          <w:b/>
          <w:bCs/>
          <w:color w:val="auto"/>
          <w:sz w:val="32"/>
          <w:szCs w:val="32"/>
          <w:highlight w:val="none"/>
          <w:lang w:eastAsia="zh-CN"/>
        </w:rPr>
        <w:t>五是开展农房安全排查，</w:t>
      </w:r>
      <w:r>
        <w:rPr>
          <w:rFonts w:hint="default" w:ascii="Times New Roman" w:hAnsi="Times New Roman" w:eastAsia="仿宋_GB2312" w:cs="Times New Roman"/>
          <w:sz w:val="32"/>
          <w:szCs w:val="32"/>
        </w:rPr>
        <w:t>完成农村房屋安全隐患排查整治第一阶段任务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排查经营性农村自建房</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2549</w:t>
      </w:r>
      <w:r>
        <w:rPr>
          <w:rFonts w:hint="default" w:ascii="Times New Roman" w:hAnsi="Times New Roman" w:eastAsia="仿宋_GB2312" w:cs="Times New Roman"/>
          <w:bCs/>
          <w:sz w:val="32"/>
          <w:szCs w:val="32"/>
          <w:lang w:eastAsia="zh-CN"/>
        </w:rPr>
        <w:t>万</w:t>
      </w:r>
      <w:r>
        <w:rPr>
          <w:rFonts w:hint="default" w:ascii="Times New Roman" w:hAnsi="Times New Roman" w:eastAsia="仿宋_GB2312" w:cs="Times New Roman"/>
          <w:bCs/>
          <w:sz w:val="32"/>
          <w:szCs w:val="32"/>
        </w:rPr>
        <w:t>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楷体_GB2312" w:cs="Times New Roman"/>
          <w:b/>
          <w:color w:val="auto"/>
          <w:kern w:val="0"/>
          <w:sz w:val="32"/>
          <w:szCs w:val="32"/>
          <w:highlight w:val="none"/>
          <w:shd w:val="clear" w:color="auto" w:fill="auto"/>
          <w:lang w:val="en-US" w:eastAsia="zh-CN"/>
        </w:rPr>
      </w:pPr>
      <w:r>
        <w:rPr>
          <w:rFonts w:hint="eastAsia" w:ascii="Times New Roman" w:hAnsi="Times New Roman" w:eastAsia="楷体_GB2312" w:cs="Times New Roman"/>
          <w:b/>
          <w:color w:val="auto"/>
          <w:kern w:val="0"/>
          <w:sz w:val="32"/>
          <w:szCs w:val="32"/>
          <w:highlight w:val="none"/>
          <w:shd w:val="clear" w:color="auto" w:fill="auto"/>
          <w:lang w:val="en-US" w:eastAsia="zh-CN"/>
        </w:rPr>
        <w:t>5.</w:t>
      </w:r>
      <w:r>
        <w:rPr>
          <w:rFonts w:hint="default" w:ascii="Times New Roman" w:hAnsi="Times New Roman" w:eastAsia="楷体_GB2312" w:cs="Times New Roman"/>
          <w:b/>
          <w:color w:val="auto"/>
          <w:kern w:val="0"/>
          <w:sz w:val="32"/>
          <w:szCs w:val="32"/>
          <w:highlight w:val="none"/>
          <w:shd w:val="clear" w:color="auto" w:fill="auto"/>
          <w:lang w:val="en-US" w:eastAsia="zh-CN"/>
        </w:rPr>
        <w:t>营商环境持续优化。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shd w:val="clear" w:color="auto" w:fill="auto"/>
          <w:rtl/>
          <w:lang w:eastAsia="zh-CN"/>
        </w:rPr>
      </w:pPr>
      <w:r>
        <w:rPr>
          <w:rFonts w:hint="default" w:ascii="Times New Roman" w:hAnsi="Times New Roman" w:eastAsia="仿宋_GB2312" w:cs="Times New Roman"/>
          <w:b/>
          <w:bCs/>
          <w:color w:val="auto"/>
          <w:sz w:val="32"/>
          <w:szCs w:val="32"/>
          <w:highlight w:val="none"/>
          <w:shd w:val="clear" w:color="auto" w:fill="auto"/>
          <w:lang w:eastAsia="zh-CN"/>
        </w:rPr>
        <w:t>一是</w:t>
      </w:r>
      <w:r>
        <w:rPr>
          <w:rFonts w:hint="default" w:ascii="Times New Roman" w:hAnsi="Times New Roman" w:eastAsia="仿宋_GB2312" w:cs="Times New Roman"/>
          <w:b/>
          <w:bCs/>
          <w:color w:val="auto"/>
          <w:sz w:val="32"/>
          <w:szCs w:val="32"/>
          <w:highlight w:val="none"/>
          <w:shd w:val="clear" w:color="auto" w:fill="auto"/>
        </w:rPr>
        <w:t>不断深化“放管服”改革</w:t>
      </w:r>
      <w:r>
        <w:rPr>
          <w:rFonts w:hint="default" w:ascii="Times New Roman" w:hAnsi="Times New Roman" w:eastAsia="仿宋_GB2312" w:cs="Times New Roman"/>
          <w:b/>
          <w:bCs/>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全面核定行政权力事项清单，</w:t>
      </w:r>
      <w:r>
        <w:rPr>
          <w:rFonts w:hint="default" w:ascii="Times New Roman" w:hAnsi="Times New Roman" w:eastAsia="仿宋_GB2312" w:cs="Times New Roman"/>
          <w:color w:val="auto"/>
          <w:sz w:val="32"/>
          <w:szCs w:val="32"/>
          <w:highlight w:val="none"/>
          <w:shd w:val="clear" w:color="auto" w:fill="auto"/>
        </w:rPr>
        <w:t>清理行政许可22项。认领行政处罚410项、行政检查19项、行政奖励4项。下放行政征收7项、下放行政强制4项。按属地管理原则下放其他行政权力27项</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b/>
          <w:bCs/>
          <w:color w:val="auto"/>
          <w:sz w:val="32"/>
          <w:szCs w:val="32"/>
          <w:highlight w:val="none"/>
          <w:shd w:val="clear" w:color="auto" w:fill="auto"/>
          <w:lang w:eastAsia="zh-CN"/>
        </w:rPr>
        <w:t>二是推进工程建设项目审批制度改革工作，</w:t>
      </w:r>
      <w:r>
        <w:rPr>
          <w:rFonts w:hint="default" w:ascii="Times New Roman" w:hAnsi="Times New Roman" w:eastAsia="仿宋_GB2312" w:cs="Times New Roman"/>
          <w:color w:val="auto"/>
          <w:sz w:val="32"/>
          <w:szCs w:val="32"/>
          <w:highlight w:val="none"/>
          <w:shd w:val="clear" w:color="auto" w:fill="auto"/>
          <w:lang w:eastAsia="zh-CN"/>
        </w:rPr>
        <w:t>配套出台改革文件</w:t>
      </w:r>
      <w:r>
        <w:rPr>
          <w:rFonts w:hint="default" w:ascii="Times New Roman" w:hAnsi="Times New Roman" w:eastAsia="仿宋_GB2312" w:cs="Times New Roman"/>
          <w:color w:val="auto"/>
          <w:sz w:val="32"/>
          <w:szCs w:val="32"/>
          <w:highlight w:val="none"/>
          <w:shd w:val="clear" w:color="auto" w:fill="auto"/>
          <w:lang w:val="en-US" w:eastAsia="zh-CN"/>
        </w:rPr>
        <w:t>17项，</w:t>
      </w:r>
      <w:r>
        <w:rPr>
          <w:rFonts w:hint="default" w:ascii="Times New Roman" w:hAnsi="Times New Roman" w:eastAsia="仿宋_GB2312" w:cs="Times New Roman"/>
          <w:color w:val="auto"/>
          <w:sz w:val="32"/>
          <w:szCs w:val="32"/>
          <w:highlight w:val="none"/>
          <w:shd w:val="clear" w:color="auto" w:fill="auto"/>
        </w:rPr>
        <w:t>加快推进工程建设项目审批管理系统（2.0版）建设使用</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实现了将建筑工程审批时限压缩至1</w:t>
      </w:r>
      <w:r>
        <w:rPr>
          <w:rFonts w:hint="default" w:ascii="Times New Roman" w:hAnsi="Times New Roman" w:eastAsia="仿宋_GB2312" w:cs="Times New Roman"/>
          <w:color w:val="auto"/>
          <w:sz w:val="32"/>
          <w:szCs w:val="32"/>
          <w:highlight w:val="none"/>
          <w:shd w:val="clear" w:color="auto" w:fill="auto"/>
          <w:lang w:val="en-US" w:eastAsia="zh-CN"/>
        </w:rPr>
        <w:t>00</w:t>
      </w:r>
      <w:r>
        <w:rPr>
          <w:rFonts w:hint="default" w:ascii="Times New Roman" w:hAnsi="Times New Roman" w:eastAsia="仿宋_GB2312" w:cs="Times New Roman"/>
          <w:color w:val="auto"/>
          <w:sz w:val="32"/>
          <w:szCs w:val="32"/>
          <w:highlight w:val="none"/>
          <w:shd w:val="clear" w:color="auto" w:fill="auto"/>
        </w:rPr>
        <w:t>个工作日内的目标。</w:t>
      </w:r>
      <w:r>
        <w:rPr>
          <w:rFonts w:hint="default" w:ascii="Times New Roman" w:hAnsi="Times New Roman" w:eastAsia="仿宋_GB2312" w:cs="Times New Roman"/>
          <w:b/>
          <w:bCs/>
          <w:color w:val="auto"/>
          <w:sz w:val="32"/>
          <w:szCs w:val="32"/>
          <w:highlight w:val="none"/>
          <w:shd w:val="clear" w:color="auto" w:fill="auto"/>
          <w:lang w:eastAsia="zh-CN"/>
        </w:rPr>
        <w:t>三是行政审批服务优质高效，</w:t>
      </w:r>
      <w:r>
        <w:rPr>
          <w:rFonts w:hint="default" w:ascii="Times New Roman" w:hAnsi="Times New Roman" w:eastAsia="仿宋_GB2312" w:cs="Times New Roman"/>
          <w:color w:val="auto"/>
          <w:sz w:val="32"/>
          <w:szCs w:val="32"/>
          <w:highlight w:val="none"/>
          <w:shd w:val="clear" w:color="auto" w:fill="auto"/>
        </w:rPr>
        <w:t>完成建筑企业资质审批事项</w:t>
      </w:r>
      <w:r>
        <w:rPr>
          <w:rFonts w:hint="default" w:ascii="Times New Roman" w:hAnsi="Times New Roman" w:eastAsia="仿宋_GB2312" w:cs="Times New Roman"/>
          <w:color w:val="auto"/>
          <w:sz w:val="32"/>
          <w:szCs w:val="32"/>
          <w:highlight w:val="none"/>
          <w:shd w:val="clear" w:color="auto" w:fill="auto"/>
          <w:lang w:val="en-US" w:eastAsia="zh-CN"/>
        </w:rPr>
        <w:t>345</w:t>
      </w:r>
      <w:r>
        <w:rPr>
          <w:rFonts w:hint="default" w:ascii="Times New Roman" w:hAnsi="Times New Roman" w:eastAsia="仿宋_GB2312" w:cs="Times New Roman"/>
          <w:color w:val="auto"/>
          <w:sz w:val="32"/>
          <w:szCs w:val="32"/>
          <w:highlight w:val="none"/>
          <w:shd w:val="clear" w:color="auto" w:fill="auto"/>
        </w:rPr>
        <w:t>项</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接受事项咨询</w:t>
      </w:r>
      <w:r>
        <w:rPr>
          <w:rFonts w:hint="default" w:ascii="Times New Roman" w:hAnsi="Times New Roman" w:eastAsia="仿宋_GB2312" w:cs="Times New Roman"/>
          <w:color w:val="auto"/>
          <w:sz w:val="32"/>
          <w:szCs w:val="32"/>
          <w:highlight w:val="none"/>
          <w:shd w:val="clear" w:color="auto" w:fill="auto"/>
          <w:lang w:val="en-US" w:eastAsia="zh-CN"/>
        </w:rPr>
        <w:t>600余</w:t>
      </w:r>
      <w:r>
        <w:rPr>
          <w:rFonts w:hint="default" w:ascii="Times New Roman" w:hAnsi="Times New Roman" w:eastAsia="仿宋_GB2312" w:cs="Times New Roman"/>
          <w:color w:val="auto"/>
          <w:sz w:val="32"/>
          <w:szCs w:val="32"/>
          <w:highlight w:val="none"/>
          <w:shd w:val="clear" w:color="auto" w:fill="auto"/>
        </w:rPr>
        <w:t>宗。入住政务大厅的行政许可事项100%实现全程网办。对我州审批的建筑企业三级资质、燃气经营许可等证书核准事项结果快递送达</w:t>
      </w:r>
      <w:r>
        <w:rPr>
          <w:rFonts w:hint="default" w:ascii="Times New Roman" w:hAnsi="Times New Roman" w:eastAsia="仿宋_GB2312" w:cs="Times New Roman"/>
          <w:color w:val="auto"/>
          <w:sz w:val="32"/>
          <w:szCs w:val="32"/>
          <w:highlight w:val="none"/>
          <w:shd w:val="clear" w:color="auto" w:fill="auto"/>
          <w:lang w:val="en-US" w:eastAsia="zh-CN"/>
        </w:rPr>
        <w:t>350</w:t>
      </w:r>
      <w:r>
        <w:rPr>
          <w:rFonts w:hint="default" w:ascii="Times New Roman" w:hAnsi="Times New Roman" w:eastAsia="仿宋_GB2312" w:cs="Times New Roman"/>
          <w:color w:val="auto"/>
          <w:sz w:val="32"/>
          <w:szCs w:val="32"/>
          <w:highlight w:val="none"/>
          <w:shd w:val="clear" w:color="auto" w:fill="auto"/>
        </w:rPr>
        <w:t>余件</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b w:val="0"/>
          <w:bCs/>
          <w:color w:val="auto"/>
          <w:sz w:val="32"/>
          <w:szCs w:val="32"/>
          <w:highlight w:val="none"/>
          <w:shd w:val="clear" w:color="auto" w:fill="auto"/>
        </w:rPr>
        <w:t>群众满意度100%。</w:t>
      </w:r>
      <w:r>
        <w:rPr>
          <w:rFonts w:hint="default" w:ascii="Times New Roman" w:hAnsi="Times New Roman" w:eastAsia="仿宋_GB2312" w:cs="Times New Roman"/>
          <w:b/>
          <w:bCs/>
          <w:color w:val="auto"/>
          <w:sz w:val="32"/>
          <w:szCs w:val="32"/>
          <w:highlight w:val="none"/>
          <w:lang w:val="en-US" w:eastAsia="zh-CN"/>
        </w:rPr>
        <w:t>四是</w:t>
      </w:r>
      <w:r>
        <w:rPr>
          <w:rFonts w:hint="default" w:ascii="Times New Roman" w:hAnsi="Times New Roman" w:eastAsia="仿宋_GB2312" w:cs="Times New Roman"/>
          <w:b/>
          <w:bCs/>
          <w:color w:val="auto"/>
          <w:sz w:val="32"/>
          <w:szCs w:val="32"/>
          <w:highlight w:val="none"/>
          <w:shd w:val="clear" w:color="auto" w:fill="auto"/>
          <w:lang w:eastAsia="zh-CN"/>
        </w:rPr>
        <w:t>开展全州建筑企业资质审批突出问题系统治理，</w:t>
      </w:r>
      <w:r>
        <w:rPr>
          <w:rFonts w:hint="default" w:ascii="Times New Roman" w:hAnsi="Times New Roman" w:eastAsia="仿宋_GB2312" w:cs="Times New Roman"/>
          <w:color w:val="auto"/>
          <w:sz w:val="32"/>
          <w:szCs w:val="32"/>
          <w:highlight w:val="none"/>
          <w:shd w:val="clear" w:color="auto" w:fill="auto"/>
        </w:rPr>
        <w:t>建立健全“三本台账”</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sz w:val="32"/>
          <w:szCs w:val="32"/>
          <w:lang w:bidi="ar-SA"/>
        </w:rPr>
        <w:t>完成州县两级 31个问题整改任务</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向州、县纪委监委移交涉嫌违规违纪线索3条。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color w:val="auto"/>
          <w:kern w:val="0"/>
          <w:sz w:val="32"/>
          <w:szCs w:val="32"/>
          <w:highlight w:val="none"/>
          <w:shd w:val="clear" w:color="auto" w:fill="auto"/>
          <w:lang w:val="en-US" w:eastAsia="zh-CN"/>
        </w:rPr>
      </w:pPr>
      <w:r>
        <w:rPr>
          <w:rFonts w:hint="eastAsia" w:ascii="Times New Roman" w:hAnsi="Times New Roman" w:eastAsia="楷体_GB2312" w:cs="Times New Roman"/>
          <w:b/>
          <w:bCs/>
          <w:color w:val="auto"/>
          <w:sz w:val="32"/>
          <w:szCs w:val="32"/>
          <w:highlight w:val="none"/>
          <w:shd w:val="clear" w:color="auto" w:fill="auto"/>
          <w:lang w:val="en-US" w:eastAsia="zh-CN"/>
        </w:rPr>
        <w:t>6.</w:t>
      </w:r>
      <w:r>
        <w:rPr>
          <w:rFonts w:hint="default" w:ascii="Times New Roman" w:hAnsi="Times New Roman" w:eastAsia="楷体_GB2312" w:cs="Times New Roman"/>
          <w:b/>
          <w:bCs/>
          <w:color w:val="auto"/>
          <w:sz w:val="32"/>
          <w:szCs w:val="32"/>
          <w:highlight w:val="none"/>
          <w:shd w:val="clear" w:color="auto" w:fill="auto"/>
          <w:lang w:eastAsia="zh-CN"/>
        </w:rPr>
        <w:t>行业安全监管不断强化。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auto"/>
          <w:lang w:val="en-US"/>
        </w:rPr>
      </w:pPr>
      <w:r>
        <w:rPr>
          <w:rFonts w:hint="default" w:ascii="Times New Roman" w:hAnsi="Times New Roman" w:eastAsia="仿宋_GB2312" w:cs="Times New Roman"/>
          <w:b/>
          <w:bCs/>
          <w:color w:val="auto"/>
          <w:sz w:val="32"/>
          <w:szCs w:val="32"/>
          <w:highlight w:val="none"/>
          <w:shd w:val="clear" w:color="auto" w:fill="auto"/>
          <w:lang w:eastAsia="zh-CN"/>
        </w:rPr>
        <w:t>一是</w:t>
      </w:r>
      <w:r>
        <w:rPr>
          <w:rFonts w:hint="default" w:ascii="Times New Roman" w:hAnsi="Times New Roman" w:eastAsia="仿宋_GB2312" w:cs="Times New Roman"/>
          <w:b/>
          <w:bCs/>
          <w:color w:val="auto"/>
          <w:sz w:val="32"/>
          <w:szCs w:val="32"/>
          <w:highlight w:val="none"/>
          <w:shd w:val="clear" w:color="auto" w:fill="auto"/>
        </w:rPr>
        <w:t>全面推行安全生产清单制</w:t>
      </w:r>
      <w:r>
        <w:rPr>
          <w:rFonts w:hint="default" w:ascii="Times New Roman" w:hAnsi="Times New Roman" w:eastAsia="仿宋_GB2312" w:cs="Times New Roman"/>
          <w:b/>
          <w:bCs/>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完成</w:t>
      </w:r>
      <w:r>
        <w:rPr>
          <w:rFonts w:hint="default" w:ascii="Times New Roman" w:hAnsi="Times New Roman" w:eastAsia="仿宋_GB2312" w:cs="Times New Roman"/>
          <w:b w:val="0"/>
          <w:bCs w:val="0"/>
          <w:color w:val="auto"/>
          <w:sz w:val="32"/>
          <w:szCs w:val="32"/>
          <w:highlight w:val="none"/>
          <w:shd w:val="clear" w:color="auto" w:fill="auto"/>
        </w:rPr>
        <w:t>178家施工企业</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10家监理企业</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22家燃气企业安全生产责任清单</w:t>
      </w:r>
      <w:r>
        <w:rPr>
          <w:rFonts w:hint="default" w:ascii="Times New Roman" w:hAnsi="Times New Roman" w:eastAsia="仿宋_GB2312" w:cs="Times New Roman"/>
          <w:b w:val="0"/>
          <w:bCs w:val="0"/>
          <w:color w:val="auto"/>
          <w:sz w:val="32"/>
          <w:szCs w:val="32"/>
          <w:highlight w:val="none"/>
          <w:shd w:val="clear" w:color="auto" w:fill="auto"/>
          <w:lang w:val="en-US" w:eastAsia="zh-CN"/>
        </w:rPr>
        <w:t>编制</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bCs/>
          <w:color w:val="auto"/>
          <w:sz w:val="32"/>
          <w:szCs w:val="32"/>
          <w:highlight w:val="none"/>
          <w:shd w:val="clear" w:color="auto" w:fill="auto"/>
          <w:lang w:eastAsia="zh-CN"/>
        </w:rPr>
        <w:t>二是</w:t>
      </w:r>
      <w:r>
        <w:rPr>
          <w:rFonts w:hint="default" w:ascii="Times New Roman" w:hAnsi="Times New Roman" w:eastAsia="仿宋_GB2312" w:cs="Times New Roman"/>
          <w:b/>
          <w:bCs/>
          <w:color w:val="auto"/>
          <w:sz w:val="32"/>
          <w:szCs w:val="32"/>
          <w:highlight w:val="none"/>
          <w:shd w:val="clear" w:color="auto" w:fill="auto"/>
        </w:rPr>
        <w:t>开展安全生产三年行动专项整治</w:t>
      </w:r>
      <w:r>
        <w:rPr>
          <w:rFonts w:hint="default" w:ascii="Times New Roman" w:hAnsi="Times New Roman" w:eastAsia="仿宋_GB2312" w:cs="Times New Roman"/>
          <w:b/>
          <w:bCs/>
          <w:color w:val="auto"/>
          <w:sz w:val="32"/>
          <w:szCs w:val="32"/>
          <w:highlight w:val="none"/>
          <w:shd w:val="clear" w:color="auto" w:fill="auto"/>
          <w:lang w:eastAsia="zh-CN"/>
        </w:rPr>
        <w:t>和</w:t>
      </w:r>
      <w:r>
        <w:rPr>
          <w:rFonts w:hint="default" w:ascii="Times New Roman" w:hAnsi="Times New Roman" w:eastAsia="仿宋_GB2312" w:cs="Times New Roman"/>
          <w:b/>
          <w:bCs/>
          <w:color w:val="auto"/>
          <w:sz w:val="32"/>
          <w:szCs w:val="32"/>
          <w:highlight w:val="none"/>
          <w:shd w:val="clear" w:color="auto" w:fill="auto"/>
          <w:rtl/>
          <w:lang w:eastAsia="zh-CN"/>
        </w:rPr>
        <w:t>“</w:t>
      </w:r>
      <w:r>
        <w:rPr>
          <w:rFonts w:hint="default" w:ascii="Times New Roman" w:hAnsi="Times New Roman" w:eastAsia="仿宋_GB2312" w:cs="Times New Roman"/>
          <w:b/>
          <w:bCs/>
          <w:color w:val="auto"/>
          <w:sz w:val="32"/>
          <w:szCs w:val="32"/>
          <w:highlight w:val="none"/>
          <w:shd w:val="clear" w:color="auto" w:fill="auto"/>
          <w:lang w:eastAsia="zh-CN"/>
        </w:rPr>
        <w:t>排险除患</w:t>
      </w:r>
      <w:r>
        <w:rPr>
          <w:rFonts w:hint="default" w:ascii="Times New Roman" w:hAnsi="Times New Roman" w:eastAsia="仿宋_GB2312" w:cs="Times New Roman"/>
          <w:b/>
          <w:bCs/>
          <w:color w:val="auto"/>
          <w:sz w:val="32"/>
          <w:szCs w:val="32"/>
          <w:highlight w:val="none"/>
          <w:shd w:val="clear" w:color="auto" w:fill="auto"/>
          <w:rtl/>
          <w:lang w:eastAsia="zh-CN"/>
        </w:rPr>
        <w:t>”</w:t>
      </w:r>
      <w:r>
        <w:rPr>
          <w:rFonts w:hint="default" w:ascii="Times New Roman" w:hAnsi="Times New Roman" w:eastAsia="仿宋_GB2312" w:cs="Times New Roman"/>
          <w:b/>
          <w:bCs/>
          <w:color w:val="auto"/>
          <w:sz w:val="32"/>
          <w:szCs w:val="32"/>
          <w:highlight w:val="none"/>
          <w:shd w:val="clear" w:color="auto" w:fill="auto"/>
          <w:lang w:eastAsia="zh-CN"/>
        </w:rPr>
        <w:t>集中整治</w:t>
      </w:r>
      <w:r>
        <w:rPr>
          <w:rFonts w:hint="default" w:ascii="Times New Roman" w:hAnsi="Times New Roman" w:eastAsia="仿宋_GB2312" w:cs="Times New Roman"/>
          <w:b/>
          <w:bCs/>
          <w:color w:val="auto"/>
          <w:sz w:val="32"/>
          <w:szCs w:val="32"/>
          <w:highlight w:val="none"/>
          <w:shd w:val="clear" w:color="auto" w:fill="auto"/>
        </w:rPr>
        <w:t>行动</w:t>
      </w:r>
      <w:r>
        <w:rPr>
          <w:rFonts w:hint="default" w:ascii="Times New Roman" w:hAnsi="Times New Roman" w:eastAsia="仿宋_GB2312" w:cs="Times New Roman"/>
          <w:b/>
          <w:bCs/>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rPr>
        <w:t>突出建筑施工、市政公用设施运行、</w:t>
      </w:r>
      <w:r>
        <w:rPr>
          <w:rFonts w:hint="default" w:ascii="Times New Roman" w:hAnsi="Times New Roman" w:eastAsia="仿宋_GB2312" w:cs="Times New Roman"/>
          <w:color w:val="auto"/>
          <w:sz w:val="32"/>
          <w:szCs w:val="32"/>
          <w:lang w:eastAsia="zh-CN"/>
        </w:rPr>
        <w:t>火灾隐患排查、</w:t>
      </w:r>
      <w:r>
        <w:rPr>
          <w:rFonts w:hint="default" w:ascii="Times New Roman" w:hAnsi="Times New Roman" w:eastAsia="仿宋_GB2312" w:cs="Times New Roman"/>
          <w:color w:val="auto"/>
          <w:sz w:val="32"/>
          <w:szCs w:val="32"/>
        </w:rPr>
        <w:t>农房安全等重点领域和关键环节</w:t>
      </w:r>
      <w:r>
        <w:rPr>
          <w:rFonts w:hint="default" w:ascii="Times New Roman" w:hAnsi="Times New Roman" w:eastAsia="仿宋_GB2312" w:cs="Times New Roman"/>
          <w:color w:val="auto"/>
          <w:sz w:val="32"/>
          <w:szCs w:val="32"/>
          <w:lang w:eastAsia="zh-CN"/>
        </w:rPr>
        <w:t>，全面开展</w:t>
      </w:r>
      <w:r>
        <w:rPr>
          <w:rFonts w:hint="default" w:ascii="Times New Roman" w:hAnsi="Times New Roman" w:eastAsia="仿宋_GB2312" w:cs="Times New Roman"/>
          <w:b w:val="0"/>
          <w:bCs w:val="0"/>
          <w:color w:val="auto"/>
          <w:sz w:val="32"/>
          <w:szCs w:val="32"/>
          <w:highlight w:val="none"/>
          <w:shd w:val="clear" w:color="auto" w:fill="auto"/>
          <w:lang w:eastAsia="zh-CN"/>
        </w:rPr>
        <w:t>落实企业安全生产</w:t>
      </w:r>
      <w:r>
        <w:rPr>
          <w:rFonts w:hint="default" w:ascii="Times New Roman" w:hAnsi="Times New Roman" w:eastAsia="仿宋_GB2312" w:cs="Times New Roman"/>
          <w:b w:val="0"/>
          <w:bCs w:val="0"/>
          <w:color w:val="auto"/>
          <w:sz w:val="32"/>
          <w:szCs w:val="32"/>
          <w:highlight w:val="none"/>
          <w:shd w:val="clear" w:color="auto" w:fill="auto"/>
          <w:lang w:val="en-US" w:eastAsia="zh-CN"/>
        </w:rPr>
        <w:t>主体</w:t>
      </w:r>
      <w:r>
        <w:rPr>
          <w:rFonts w:hint="default" w:ascii="Times New Roman" w:hAnsi="Times New Roman" w:eastAsia="仿宋_GB2312" w:cs="Times New Roman"/>
          <w:b w:val="0"/>
          <w:bCs w:val="0"/>
          <w:color w:val="auto"/>
          <w:sz w:val="32"/>
          <w:szCs w:val="32"/>
          <w:highlight w:val="none"/>
          <w:shd w:val="clear" w:color="auto" w:fill="auto"/>
          <w:lang w:eastAsia="zh-CN"/>
        </w:rPr>
        <w:t>责任、</w:t>
      </w:r>
      <w:r>
        <w:rPr>
          <w:rFonts w:hint="default" w:ascii="Times New Roman" w:hAnsi="Times New Roman" w:eastAsia="仿宋_GB2312" w:cs="Times New Roman"/>
          <w:b w:val="0"/>
          <w:bCs w:val="0"/>
          <w:color w:val="auto"/>
          <w:sz w:val="32"/>
          <w:szCs w:val="32"/>
          <w:highlight w:val="none"/>
          <w:shd w:val="clear" w:color="auto" w:fill="auto"/>
          <w:lang w:val="en-US" w:eastAsia="zh-CN"/>
        </w:rPr>
        <w:t>城镇建设安全专项整治、</w:t>
      </w:r>
      <w:r>
        <w:rPr>
          <w:rFonts w:hint="default" w:ascii="Times New Roman" w:hAnsi="Times New Roman" w:eastAsia="仿宋_GB2312" w:cs="Times New Roman"/>
          <w:color w:val="auto"/>
          <w:sz w:val="32"/>
          <w:szCs w:val="32"/>
        </w:rPr>
        <w:t>房屋建筑和人员聚集场所安全风险及火灾隐患排查整治工作</w:t>
      </w:r>
      <w:r>
        <w:rPr>
          <w:rFonts w:hint="default" w:ascii="Times New Roman" w:hAnsi="Times New Roman" w:eastAsia="仿宋_GB2312" w:cs="Times New Roman"/>
          <w:b w:val="0"/>
          <w:bCs w:val="0"/>
          <w:color w:val="auto"/>
          <w:sz w:val="32"/>
          <w:szCs w:val="32"/>
          <w:highlight w:val="none"/>
          <w:shd w:val="clear" w:color="auto" w:fill="auto"/>
          <w:lang w:val="en-US" w:eastAsia="zh-CN"/>
        </w:rPr>
        <w:t>。</w:t>
      </w:r>
      <w:r>
        <w:rPr>
          <w:rFonts w:hint="default" w:ascii="Times New Roman" w:hAnsi="Times New Roman" w:eastAsia="仿宋_GB2312" w:cs="Times New Roman"/>
          <w:b w:val="0"/>
          <w:bCs w:val="0"/>
          <w:color w:val="auto"/>
          <w:sz w:val="32"/>
          <w:szCs w:val="32"/>
          <w:highlight w:val="none"/>
          <w:shd w:val="clear" w:color="auto" w:fill="auto"/>
        </w:rPr>
        <w:t>检查企业505家</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排查</w:t>
      </w:r>
      <w:r>
        <w:rPr>
          <w:rFonts w:hint="default" w:ascii="Times New Roman" w:hAnsi="Times New Roman" w:eastAsia="仿宋_GB2312" w:cs="Times New Roman"/>
          <w:b w:val="0"/>
          <w:bCs w:val="0"/>
          <w:color w:val="auto"/>
          <w:sz w:val="32"/>
          <w:szCs w:val="32"/>
          <w:highlight w:val="none"/>
          <w:shd w:val="clear" w:color="auto" w:fill="auto"/>
          <w:lang w:eastAsia="zh-CN"/>
        </w:rPr>
        <w:t>整改</w:t>
      </w:r>
      <w:r>
        <w:rPr>
          <w:rFonts w:hint="default" w:ascii="Times New Roman" w:hAnsi="Times New Roman" w:eastAsia="仿宋_GB2312" w:cs="Times New Roman"/>
          <w:b w:val="0"/>
          <w:bCs w:val="0"/>
          <w:color w:val="auto"/>
          <w:sz w:val="32"/>
          <w:szCs w:val="32"/>
          <w:highlight w:val="none"/>
          <w:shd w:val="clear" w:color="auto" w:fill="auto"/>
        </w:rPr>
        <w:t>隐患171处</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立案查处22起</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处罚金额36.55万元。检查起重设备345台</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发现</w:t>
      </w:r>
      <w:r>
        <w:rPr>
          <w:rFonts w:hint="default" w:ascii="Times New Roman" w:hAnsi="Times New Roman" w:eastAsia="仿宋_GB2312" w:cs="Times New Roman"/>
          <w:b w:val="0"/>
          <w:bCs w:val="0"/>
          <w:color w:val="auto"/>
          <w:sz w:val="32"/>
          <w:szCs w:val="32"/>
          <w:highlight w:val="none"/>
          <w:shd w:val="clear" w:color="auto" w:fill="auto"/>
          <w:lang w:eastAsia="zh-CN"/>
        </w:rPr>
        <w:t>并整改</w:t>
      </w:r>
      <w:r>
        <w:rPr>
          <w:rFonts w:hint="default" w:ascii="Times New Roman" w:hAnsi="Times New Roman" w:eastAsia="仿宋_GB2312" w:cs="Times New Roman"/>
          <w:b w:val="0"/>
          <w:bCs w:val="0"/>
          <w:color w:val="auto"/>
          <w:sz w:val="32"/>
          <w:szCs w:val="32"/>
          <w:highlight w:val="none"/>
          <w:shd w:val="clear" w:color="auto" w:fill="auto"/>
        </w:rPr>
        <w:t>塔机隐患49处</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bCs/>
          <w:color w:val="auto"/>
          <w:sz w:val="32"/>
          <w:szCs w:val="32"/>
          <w:highlight w:val="none"/>
          <w:shd w:val="clear" w:color="auto" w:fill="auto"/>
          <w:lang w:eastAsia="zh-CN"/>
        </w:rPr>
        <w:t>三是开展“扫黑除恶”专项排查整治，</w:t>
      </w:r>
      <w:r>
        <w:rPr>
          <w:rFonts w:hint="default" w:ascii="Times New Roman" w:hAnsi="Times New Roman" w:eastAsia="仿宋_GB2312" w:cs="Times New Roman"/>
          <w:b w:val="0"/>
          <w:bCs w:val="0"/>
          <w:color w:val="auto"/>
          <w:sz w:val="32"/>
          <w:szCs w:val="32"/>
          <w:highlight w:val="none"/>
          <w:shd w:val="clear" w:color="auto" w:fill="auto"/>
          <w:lang w:eastAsia="zh-CN"/>
        </w:rPr>
        <w:t>排查项目共1712个，发现项目违法违规线索208个，</w:t>
      </w:r>
      <w:r>
        <w:rPr>
          <w:rFonts w:hint="default" w:ascii="Times New Roman" w:hAnsi="Times New Roman" w:eastAsia="仿宋_GB2312" w:cs="Times New Roman"/>
          <w:b w:val="0"/>
          <w:bCs w:val="0"/>
          <w:color w:val="auto"/>
          <w:sz w:val="32"/>
          <w:szCs w:val="32"/>
          <w:highlight w:val="none"/>
          <w:shd w:val="clear" w:color="auto" w:fill="auto"/>
          <w:lang w:val="en-US" w:eastAsia="zh-CN"/>
        </w:rPr>
        <w:t xml:space="preserve">并按时完成整改。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楷体_GB2312" w:cs="Times New Roman"/>
          <w:b/>
          <w:color w:val="auto"/>
          <w:kern w:val="0"/>
          <w:sz w:val="32"/>
          <w:szCs w:val="32"/>
          <w:highlight w:val="none"/>
          <w:shd w:val="clear" w:color="auto" w:fill="auto"/>
          <w:lang w:val="en-US" w:eastAsia="zh-CN"/>
        </w:rPr>
      </w:pPr>
      <w:r>
        <w:rPr>
          <w:rFonts w:hint="eastAsia" w:ascii="Times New Roman" w:hAnsi="Times New Roman" w:eastAsia="楷体_GB2312" w:cs="Times New Roman"/>
          <w:b/>
          <w:color w:val="auto"/>
          <w:kern w:val="0"/>
          <w:sz w:val="32"/>
          <w:szCs w:val="32"/>
          <w:highlight w:val="none"/>
          <w:shd w:val="clear" w:color="auto" w:fill="auto"/>
          <w:lang w:val="en-US" w:eastAsia="zh-CN"/>
        </w:rPr>
        <w:t>7.</w:t>
      </w:r>
      <w:r>
        <w:rPr>
          <w:rFonts w:hint="default" w:ascii="Times New Roman" w:hAnsi="Times New Roman" w:eastAsia="楷体_GB2312" w:cs="Times New Roman"/>
          <w:b/>
          <w:color w:val="auto"/>
          <w:kern w:val="0"/>
          <w:sz w:val="32"/>
          <w:szCs w:val="32"/>
          <w:highlight w:val="none"/>
          <w:shd w:val="clear" w:color="auto" w:fill="auto"/>
          <w:lang w:val="en-US" w:eastAsia="zh-CN"/>
        </w:rPr>
        <w:t>建筑行业加快发展。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b/>
          <w:bCs/>
          <w:color w:val="auto"/>
          <w:sz w:val="32"/>
          <w:szCs w:val="32"/>
          <w:highlight w:val="none"/>
          <w:shd w:val="clear" w:color="auto" w:fill="auto"/>
          <w:lang w:eastAsia="zh-CN"/>
        </w:rPr>
        <w:t>一是建筑业发展呈现良好态势，</w:t>
      </w:r>
      <w:r>
        <w:rPr>
          <w:rFonts w:hint="default" w:ascii="Times New Roman" w:hAnsi="Times New Roman" w:eastAsia="仿宋_GB2312" w:cs="Times New Roman"/>
          <w:color w:val="auto"/>
          <w:sz w:val="32"/>
          <w:szCs w:val="32"/>
          <w:highlight w:val="none"/>
          <w:shd w:val="clear" w:color="auto" w:fill="auto"/>
        </w:rPr>
        <w:t>2020年末</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全州具备资质等级的建筑施工企业512家</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全州实现建筑业总产值69.41亿元</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较2019年同期增长10.57%</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实现建筑业增加值13.68亿元</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较去年同期增长2.0%。</w:t>
      </w:r>
      <w:r>
        <w:rPr>
          <w:rFonts w:hint="default" w:ascii="Times New Roman" w:hAnsi="Times New Roman" w:eastAsia="仿宋_GB2312" w:cs="Times New Roman"/>
          <w:b/>
          <w:bCs/>
          <w:color w:val="auto"/>
          <w:sz w:val="32"/>
          <w:szCs w:val="32"/>
          <w:highlight w:val="none"/>
          <w:shd w:val="clear" w:color="auto" w:fill="auto"/>
          <w:lang w:eastAsia="zh-CN"/>
        </w:rPr>
        <w:t>二是</w:t>
      </w:r>
      <w:r>
        <w:rPr>
          <w:rFonts w:hint="default" w:ascii="Times New Roman" w:hAnsi="Times New Roman" w:eastAsia="仿宋_GB2312" w:cs="Times New Roman"/>
          <w:b/>
          <w:bCs/>
          <w:color w:val="auto"/>
          <w:sz w:val="32"/>
          <w:szCs w:val="32"/>
          <w:highlight w:val="none"/>
          <w:shd w:val="clear" w:color="auto" w:fill="auto"/>
        </w:rPr>
        <w:t>开展建筑企业业绩专项核查</w:t>
      </w:r>
      <w:r>
        <w:rPr>
          <w:rFonts w:hint="default" w:ascii="Times New Roman" w:hAnsi="Times New Roman" w:eastAsia="仿宋_GB2312" w:cs="Times New Roman"/>
          <w:b/>
          <w:bCs/>
          <w:color w:val="auto"/>
          <w:sz w:val="32"/>
          <w:szCs w:val="32"/>
          <w:highlight w:val="none"/>
          <w:shd w:val="clear" w:color="auto" w:fill="auto"/>
          <w:lang w:eastAsia="zh-CN"/>
        </w:rPr>
        <w:t>、</w:t>
      </w:r>
      <w:r>
        <w:rPr>
          <w:rFonts w:hint="default" w:ascii="Times New Roman" w:hAnsi="Times New Roman" w:eastAsia="仿宋_GB2312" w:cs="Times New Roman"/>
          <w:b/>
          <w:bCs/>
          <w:color w:val="auto"/>
          <w:sz w:val="32"/>
          <w:szCs w:val="32"/>
          <w:highlight w:val="none"/>
          <w:shd w:val="clear" w:color="auto" w:fill="auto"/>
        </w:rPr>
        <w:t>招标投标专项治理</w:t>
      </w:r>
      <w:r>
        <w:rPr>
          <w:rFonts w:hint="default" w:ascii="Times New Roman" w:hAnsi="Times New Roman" w:eastAsia="仿宋_GB2312" w:cs="Times New Roman"/>
          <w:b/>
          <w:bCs/>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出台《房屋建筑和市政工程业绩审核管理制度》</w:t>
      </w:r>
      <w:r>
        <w:rPr>
          <w:rFonts w:hint="default" w:ascii="Times New Roman" w:hAnsi="Times New Roman" w:eastAsia="仿宋_GB2312" w:cs="Times New Roman"/>
          <w:color w:val="auto"/>
          <w:sz w:val="32"/>
          <w:szCs w:val="32"/>
          <w:highlight w:val="none"/>
        </w:rPr>
        <w:t>等9项制度</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核查业绩1500余条</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全覆盖</w:t>
      </w:r>
      <w:r>
        <w:rPr>
          <w:rFonts w:hint="default" w:ascii="Times New Roman" w:hAnsi="Times New Roman" w:eastAsia="仿宋_GB2312" w:cs="Times New Roman"/>
          <w:color w:val="auto"/>
          <w:sz w:val="32"/>
          <w:szCs w:val="32"/>
          <w:highlight w:val="none"/>
          <w:shd w:val="clear" w:color="auto" w:fill="auto"/>
          <w:lang w:val="en-US" w:eastAsia="zh-CN"/>
        </w:rPr>
        <w:t>自查</w:t>
      </w:r>
      <w:r>
        <w:rPr>
          <w:rFonts w:hint="default" w:ascii="Times New Roman" w:hAnsi="Times New Roman" w:eastAsia="仿宋_GB2312" w:cs="Times New Roman"/>
          <w:color w:val="auto"/>
          <w:sz w:val="32"/>
          <w:szCs w:val="32"/>
          <w:highlight w:val="none"/>
          <w:shd w:val="clear" w:color="auto" w:fill="auto"/>
        </w:rPr>
        <w:t>房屋建筑和市政工程项目445个</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发现</w:t>
      </w:r>
      <w:r>
        <w:rPr>
          <w:rFonts w:hint="default" w:ascii="Times New Roman" w:hAnsi="Times New Roman" w:eastAsia="仿宋_GB2312" w:cs="Times New Roman"/>
          <w:color w:val="auto"/>
          <w:sz w:val="32"/>
          <w:szCs w:val="32"/>
          <w:highlight w:val="none"/>
          <w:shd w:val="clear" w:color="auto" w:fill="auto"/>
          <w:lang w:eastAsia="zh-CN"/>
        </w:rPr>
        <w:t>并核查办理</w:t>
      </w:r>
      <w:r>
        <w:rPr>
          <w:rFonts w:hint="default" w:ascii="Times New Roman" w:hAnsi="Times New Roman" w:eastAsia="仿宋_GB2312" w:cs="Times New Roman"/>
          <w:color w:val="auto"/>
          <w:sz w:val="32"/>
          <w:szCs w:val="32"/>
          <w:highlight w:val="none"/>
          <w:shd w:val="clear" w:color="auto" w:fill="auto"/>
        </w:rPr>
        <w:t>问题线索76个。</w:t>
      </w:r>
      <w:r>
        <w:rPr>
          <w:rFonts w:hint="default" w:ascii="Times New Roman" w:hAnsi="Times New Roman" w:eastAsia="仿宋_GB2312" w:cs="Times New Roman"/>
          <w:b/>
          <w:bCs/>
          <w:color w:val="auto"/>
          <w:sz w:val="32"/>
          <w:szCs w:val="32"/>
          <w:highlight w:val="none"/>
          <w:shd w:val="clear" w:color="auto" w:fill="auto"/>
          <w:lang w:eastAsia="zh-CN"/>
        </w:rPr>
        <w:t>三是</w:t>
      </w:r>
      <w:r>
        <w:rPr>
          <w:rFonts w:hint="default" w:ascii="Times New Roman" w:hAnsi="Times New Roman" w:eastAsia="仿宋_GB2312" w:cs="Times New Roman"/>
          <w:b/>
          <w:bCs/>
          <w:color w:val="auto"/>
          <w:sz w:val="32"/>
          <w:szCs w:val="32"/>
          <w:highlight w:val="none"/>
          <w:shd w:val="clear" w:color="auto" w:fill="auto"/>
        </w:rPr>
        <w:t>加强绿色建筑和建筑节能工作监管</w:t>
      </w:r>
      <w:r>
        <w:rPr>
          <w:rFonts w:hint="default" w:ascii="Times New Roman" w:hAnsi="Times New Roman" w:eastAsia="仿宋_GB2312" w:cs="Times New Roman"/>
          <w:b/>
          <w:bCs/>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全年新建绿色建筑占新开工建筑面积70%以上。</w:t>
      </w:r>
    </w:p>
    <w:p>
      <w:pPr>
        <w:pStyle w:val="5"/>
        <w:adjustRightInd w:val="0"/>
        <w:snapToGrid w:val="0"/>
        <w:spacing w:before="93" w:line="600" w:lineRule="exact"/>
        <w:ind w:firstLine="630" w:firstLineChars="210"/>
        <w:outlineLvl w:val="2"/>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4"/>
      <w:bookmarkEnd w:id="25"/>
      <w:bookmarkEnd w:id="26"/>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b w:val="0"/>
          <w:bCs/>
          <w:sz w:val="32"/>
          <w:szCs w:val="32"/>
          <w:lang w:eastAsia="zh-CN"/>
        </w:rPr>
        <w:t>阿坝州城乡环境综合治理服务中心</w:t>
      </w:r>
      <w:r>
        <w:rPr>
          <w:rFonts w:hint="eastAsia" w:ascii="仿宋_GB2312" w:hAnsi="仿宋_GB2312" w:eastAsia="仿宋_GB2312" w:cs="仿宋_GB2312"/>
          <w:b w:val="0"/>
          <w:bCs/>
          <w:sz w:val="32"/>
          <w:szCs w:val="32"/>
        </w:rPr>
        <w:t>属一级预算单位，下属</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个</w:t>
      </w:r>
      <w:r>
        <w:rPr>
          <w:rFonts w:hint="eastAsia" w:ascii="仿宋_GB2312" w:hAnsi="仿宋_GB2312" w:eastAsia="仿宋_GB2312" w:cs="仿宋_GB2312"/>
          <w:b w:val="0"/>
          <w:bCs/>
          <w:sz w:val="32"/>
          <w:szCs w:val="32"/>
          <w:lang w:val="en-US" w:eastAsia="zh-CN"/>
        </w:rPr>
        <w:t>直属事业单位，</w:t>
      </w:r>
      <w:r>
        <w:rPr>
          <w:rFonts w:hint="eastAsia" w:ascii="仿宋_GB2312" w:hAnsi="仿宋_GB2312" w:eastAsia="仿宋_GB2312" w:cs="仿宋_GB2312"/>
          <w:b w:val="0"/>
          <w:bCs/>
          <w:sz w:val="32"/>
          <w:szCs w:val="32"/>
        </w:rPr>
        <w:t>分别是：</w:t>
      </w:r>
      <w:r>
        <w:rPr>
          <w:rFonts w:hint="eastAsia" w:ascii="仿宋_GB2312" w:hAnsi="仿宋_GB2312" w:eastAsia="仿宋_GB2312" w:cs="仿宋_GB2312"/>
          <w:b w:val="0"/>
          <w:bCs/>
          <w:sz w:val="32"/>
          <w:szCs w:val="32"/>
          <w:lang w:eastAsia="zh-CN"/>
        </w:rPr>
        <w:t>阿坝州城乡环境综合</w:t>
      </w:r>
      <w:r>
        <w:rPr>
          <w:rFonts w:hint="eastAsia" w:ascii="仿宋_GB2312" w:hAnsi="仿宋_GB2312" w:eastAsia="仿宋_GB2312" w:cs="仿宋_GB2312"/>
          <w:b w:val="0"/>
          <w:bCs/>
          <w:sz w:val="32"/>
          <w:szCs w:val="32"/>
          <w:lang w:val="en-US" w:eastAsia="zh-CN"/>
        </w:rPr>
        <w:t>治理服务中心</w:t>
      </w:r>
      <w:r>
        <w:rPr>
          <w:rFonts w:hint="eastAsia" w:ascii="仿宋_GB2312" w:hAnsi="仿宋_GB2312" w:eastAsia="仿宋_GB2312" w:cs="仿宋_GB2312"/>
          <w:b w:val="0"/>
          <w:bCs/>
          <w:sz w:val="32"/>
          <w:szCs w:val="32"/>
          <w:lang w:eastAsia="zh-CN"/>
        </w:rPr>
        <w:t>、阿坝州房产交易中心，</w:t>
      </w:r>
      <w:r>
        <w:rPr>
          <w:rFonts w:hint="eastAsia" w:ascii="仿宋_GB2312" w:hAnsi="仿宋_GB2312" w:eastAsia="仿宋_GB2312" w:cs="仿宋_GB2312"/>
          <w:sz w:val="32"/>
          <w:szCs w:val="32"/>
          <w:lang w:val="en-US" w:eastAsia="zh-CN"/>
        </w:rPr>
        <w:t>为非独立核算的二级预算单位。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4"/>
          <w:rFonts w:ascii="黑体" w:hAnsi="黑体" w:eastAsia="黑体"/>
          <w:b w:val="0"/>
          <w:bCs w:val="0"/>
        </w:rPr>
      </w:pPr>
      <w:bookmarkStart w:id="27" w:name="_Toc15396602"/>
      <w:bookmarkStart w:id="28" w:name="_Toc15377204"/>
      <w:bookmarkStart w:id="29" w:name="_Toc21220"/>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lang w:val="en-US" w:eastAsia="zh-CN"/>
        </w:rPr>
        <w:t>2020</w:t>
      </w:r>
      <w:r>
        <w:rPr>
          <w:rStyle w:val="24"/>
          <w:rFonts w:hint="eastAsia" w:ascii="黑体" w:hAnsi="黑体" w:eastAsia="黑体"/>
          <w:b w:val="0"/>
          <w:bCs w:val="0"/>
        </w:rPr>
        <w:t>年度部门决算情况说明</w:t>
      </w:r>
      <w:bookmarkEnd w:id="27"/>
      <w:bookmarkEnd w:id="28"/>
      <w:bookmarkEnd w:id="29"/>
    </w:p>
    <w:p/>
    <w:p>
      <w:pPr>
        <w:pStyle w:val="23"/>
        <w:numPr>
          <w:ilvl w:val="0"/>
          <w:numId w:val="1"/>
        </w:numPr>
        <w:spacing w:line="600" w:lineRule="exact"/>
        <w:ind w:firstLineChars="0"/>
        <w:outlineLvl w:val="1"/>
        <w:rPr>
          <w:rStyle w:val="25"/>
          <w:rFonts w:ascii="黑体" w:hAnsi="黑体" w:eastAsia="黑体"/>
          <w:b w:val="0"/>
        </w:rPr>
      </w:pPr>
      <w:bookmarkStart w:id="30" w:name="_Toc15396603"/>
      <w:bookmarkStart w:id="31" w:name="_Toc15377205"/>
      <w:bookmarkStart w:id="32" w:name="_Toc13704"/>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30"/>
      <w:bookmarkEnd w:id="31"/>
      <w:bookmarkEnd w:id="32"/>
    </w:p>
    <w:p>
      <w:pPr>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年度收、支总计</w:t>
      </w:r>
      <w:r>
        <w:rPr>
          <w:rFonts w:hint="eastAsia" w:ascii="仿宋_GB2312" w:hAnsi="仿宋_GB2312" w:eastAsia="仿宋_GB2312" w:cs="仿宋_GB2312"/>
          <w:color w:val="000000"/>
          <w:sz w:val="32"/>
          <w:szCs w:val="32"/>
          <w:lang w:val="en-US" w:eastAsia="zh-CN"/>
        </w:rPr>
        <w:t>176.96</w:t>
      </w:r>
      <w:r>
        <w:rPr>
          <w:rFonts w:hint="eastAsia" w:ascii="仿宋_GB2312" w:hAnsi="仿宋_GB2312" w:eastAsia="仿宋_GB2312" w:cs="仿宋_GB2312"/>
          <w:color w:val="000000"/>
          <w:sz w:val="32"/>
          <w:szCs w:val="32"/>
        </w:rPr>
        <w:t>万元。与201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年相比，收、支总计各</w:t>
      </w:r>
      <w:r>
        <w:rPr>
          <w:rFonts w:hint="eastAsia" w:ascii="仿宋_GB2312" w:hAnsi="仿宋_GB2312" w:eastAsia="仿宋_GB2312" w:cs="仿宋_GB2312"/>
          <w:color w:val="000000"/>
          <w:sz w:val="32"/>
          <w:szCs w:val="32"/>
          <w:lang w:val="en-US" w:eastAsia="zh-CN"/>
        </w:rPr>
        <w:t>减少</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1.25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降低</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0.70</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2020年事业人员调出减少1人。</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156845</wp:posOffset>
            </wp:positionH>
            <wp:positionV relativeFrom="paragraph">
              <wp:posOffset>135255</wp:posOffset>
            </wp:positionV>
            <wp:extent cx="4947285" cy="2362835"/>
            <wp:effectExtent l="4445" t="4445" r="20320" b="1397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33" w:name="_Toc3865"/>
      <w:bookmarkStart w:id="34" w:name="_Toc15396604"/>
      <w:bookmarkStart w:id="35"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33"/>
      <w:bookmarkEnd w:id="34"/>
      <w:bookmarkEnd w:id="35"/>
    </w:p>
    <w:p>
      <w:pPr>
        <w:spacing w:line="600" w:lineRule="exact"/>
        <w:ind w:firstLine="640" w:firstLineChars="200"/>
        <w:outlineLvl w:val="1"/>
        <w:rPr>
          <w:rFonts w:hint="eastAsia" w:ascii="仿宋_GB2312" w:hAnsi="仿宋_GB2312" w:eastAsia="仿宋_GB2312" w:cs="仿宋_GB2312"/>
          <w:color w:val="000000"/>
          <w:sz w:val="32"/>
          <w:szCs w:val="32"/>
        </w:rPr>
      </w:pPr>
      <w:bookmarkStart w:id="36" w:name="_Toc31518"/>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年本年收入合计</w:t>
      </w:r>
      <w:r>
        <w:rPr>
          <w:rFonts w:hint="eastAsia" w:ascii="仿宋_GB2312" w:hAnsi="仿宋_GB2312" w:eastAsia="仿宋_GB2312" w:cs="仿宋_GB2312"/>
          <w:color w:val="000000"/>
          <w:sz w:val="32"/>
          <w:szCs w:val="32"/>
          <w:lang w:val="en-US" w:eastAsia="zh-CN"/>
        </w:rPr>
        <w:t>152.79</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152.79</w:t>
      </w:r>
      <w:r>
        <w:rPr>
          <w:rFonts w:hint="eastAsia" w:ascii="仿宋_GB2312" w:hAnsi="仿宋_GB2312" w:eastAsia="仿宋_GB2312" w:cs="仿宋_GB2312"/>
          <w:color w:val="000000"/>
          <w:sz w:val="32"/>
          <w:szCs w:val="32"/>
        </w:rPr>
        <w:t>万元，占 100.00%；政府性基金预算财政拨款收入0.00万元，占 0.00%；上级补助收入0.00万元，占 0.00%；事业收入0.00万元，占 0.00%；经营收入0.00万元，占 0.00%；附属单位上缴收入0.00万元，占 0.00%；其他收入0.00万元，占 0.00%。</w:t>
      </w:r>
      <w:bookmarkEnd w:id="36"/>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_GB2312" w:eastAsia="仿宋_GB2312"/>
          <w:color w:val="000000"/>
          <w:sz w:val="32"/>
          <w:szCs w:val="32"/>
        </w:rPr>
        <w:drawing>
          <wp:anchor distT="0" distB="0" distL="114300" distR="114300" simplePos="0" relativeHeight="251661312" behindDoc="0" locked="0" layoutInCell="1" allowOverlap="1">
            <wp:simplePos x="0" y="0"/>
            <wp:positionH relativeFrom="column">
              <wp:posOffset>13970</wp:posOffset>
            </wp:positionH>
            <wp:positionV relativeFrom="paragraph">
              <wp:posOffset>299720</wp:posOffset>
            </wp:positionV>
            <wp:extent cx="5080000" cy="2181860"/>
            <wp:effectExtent l="4445" t="4445" r="20955" b="234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37" w:name="_Toc15396605"/>
      <w:bookmarkStart w:id="38" w:name="_Toc5464"/>
      <w:bookmarkStart w:id="3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7"/>
      <w:bookmarkEnd w:id="38"/>
      <w:bookmarkEnd w:id="39"/>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年本年支出合计</w:t>
      </w:r>
      <w:r>
        <w:rPr>
          <w:rFonts w:hint="eastAsia" w:ascii="仿宋_GB2312" w:hAnsi="仿宋_GB2312" w:eastAsia="仿宋_GB2312" w:cs="仿宋_GB2312"/>
          <w:color w:val="000000"/>
          <w:sz w:val="32"/>
          <w:szCs w:val="32"/>
          <w:lang w:val="en-US" w:eastAsia="zh-CN"/>
        </w:rPr>
        <w:t>176.96</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176.96</w:t>
      </w:r>
      <w:r>
        <w:rPr>
          <w:rFonts w:hint="eastAsia" w:ascii="仿宋_GB2312" w:hAnsi="仿宋_GB2312" w:eastAsia="仿宋_GB2312" w:cs="仿宋_GB2312"/>
          <w:color w:val="000000"/>
          <w:sz w:val="32"/>
          <w:szCs w:val="32"/>
        </w:rPr>
        <w:t>万元，占 100.00%；项目支出0.00万元，占 0.00%；上缴上级支出0.00万元，占 0.00%；经营支出0.00万元，占 0.00%；对附属单位补助支出0.00万元，占 0.00%；。</w:t>
      </w:r>
    </w:p>
    <w:p>
      <w:pPr>
        <w:spacing w:line="600" w:lineRule="exact"/>
        <w:ind w:firstLine="1280"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000000"/>
          <w:sz w:val="32"/>
          <w:szCs w:val="32"/>
        </w:rPr>
        <w:drawing>
          <wp:anchor distT="0" distB="0" distL="114300" distR="114300" simplePos="0" relativeHeight="251664384" behindDoc="0" locked="0" layoutInCell="1" allowOverlap="1">
            <wp:simplePos x="0" y="0"/>
            <wp:positionH relativeFrom="column">
              <wp:posOffset>109220</wp:posOffset>
            </wp:positionH>
            <wp:positionV relativeFrom="paragraph">
              <wp:posOffset>294640</wp:posOffset>
            </wp:positionV>
            <wp:extent cx="5080000" cy="2181860"/>
            <wp:effectExtent l="4445" t="4445" r="2095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1"/>
        <w:rPr>
          <w:rStyle w:val="25"/>
          <w:rFonts w:ascii="黑体" w:hAnsi="黑体" w:eastAsia="黑体"/>
          <w:b w:val="0"/>
        </w:rPr>
      </w:pPr>
      <w:bookmarkStart w:id="40" w:name="_Toc15396606"/>
      <w:bookmarkStart w:id="41" w:name="_Toc15377208"/>
      <w:bookmarkStart w:id="42" w:name="_Toc4732"/>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40"/>
      <w:bookmarkEnd w:id="41"/>
      <w:bookmarkEnd w:id="42"/>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年财政拨款收、支总计</w:t>
      </w:r>
      <w:r>
        <w:rPr>
          <w:rFonts w:hint="eastAsia" w:ascii="仿宋_GB2312" w:hAnsi="仿宋_GB2312" w:eastAsia="仿宋_GB2312" w:cs="仿宋_GB2312"/>
          <w:color w:val="000000"/>
          <w:sz w:val="32"/>
          <w:szCs w:val="32"/>
          <w:lang w:val="en-US" w:eastAsia="zh-CN"/>
        </w:rPr>
        <w:t>176.96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占总收入的100%</w:t>
      </w:r>
      <w:r>
        <w:rPr>
          <w:rFonts w:hint="eastAsia" w:ascii="仿宋_GB2312" w:hAnsi="仿宋_GB2312" w:eastAsia="仿宋_GB2312" w:cs="仿宋_GB2312"/>
          <w:color w:val="000000"/>
          <w:sz w:val="32"/>
          <w:szCs w:val="32"/>
        </w:rPr>
        <w:t>。与201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年相比，财政拨款收、支总计各</w:t>
      </w:r>
      <w:r>
        <w:rPr>
          <w:rFonts w:hint="eastAsia" w:ascii="仿宋_GB2312" w:hAnsi="仿宋_GB2312" w:eastAsia="仿宋_GB2312" w:cs="仿宋_GB2312"/>
          <w:color w:val="000000"/>
          <w:sz w:val="32"/>
          <w:szCs w:val="32"/>
          <w:lang w:val="en-US" w:eastAsia="zh-CN"/>
        </w:rPr>
        <w:t>减少1.25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降低0.70</w:t>
      </w:r>
      <w:r>
        <w:rPr>
          <w:rFonts w:hint="eastAsia" w:ascii="仿宋_GB2312" w:hAnsi="仿宋_GB2312" w:eastAsia="仿宋_GB2312" w:cs="仿宋_GB2312"/>
          <w:color w:val="000000"/>
          <w:sz w:val="32"/>
          <w:szCs w:val="32"/>
        </w:rPr>
        <w:t>%。主要变动原因</w:t>
      </w:r>
      <w:r>
        <w:rPr>
          <w:rFonts w:hint="eastAsia" w:ascii="仿宋_GB2312" w:hAnsi="仿宋_GB2312" w:eastAsia="仿宋_GB2312" w:cs="仿宋_GB2312"/>
          <w:color w:val="000000"/>
          <w:sz w:val="32"/>
          <w:szCs w:val="32"/>
          <w:lang w:val="en-US" w:eastAsia="zh-CN"/>
        </w:rPr>
        <w:t>是2020年事业人员调出减少1人。</w:t>
      </w:r>
    </w:p>
    <w:p>
      <w:pPr>
        <w:spacing w:line="600" w:lineRule="exact"/>
        <w:rPr>
          <w:rFonts w:hint="eastAsia" w:ascii="仿宋" w:hAnsi="仿宋" w:eastAsia="仿宋"/>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99695</wp:posOffset>
            </wp:positionH>
            <wp:positionV relativeFrom="paragraph">
              <wp:posOffset>204470</wp:posOffset>
            </wp:positionV>
            <wp:extent cx="4947285" cy="2362835"/>
            <wp:effectExtent l="4445" t="4445" r="20320"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43" w:name="_Toc15377209"/>
      <w:bookmarkStart w:id="44" w:name="_Toc15396607"/>
      <w:bookmarkStart w:id="45" w:name="_Toc17288"/>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3"/>
      <w:bookmarkEnd w:id="44"/>
      <w:bookmarkEnd w:id="45"/>
    </w:p>
    <w:p>
      <w:pPr>
        <w:spacing w:line="600" w:lineRule="exact"/>
        <w:ind w:firstLine="643" w:firstLineChars="200"/>
        <w:outlineLvl w:val="2"/>
        <w:rPr>
          <w:rFonts w:hint="eastAsia" w:ascii="楷体_GB2312" w:hAnsi="楷体_GB2312" w:eastAsia="楷体_GB2312" w:cs="楷体_GB2312"/>
          <w:b/>
          <w:color w:val="000000"/>
          <w:sz w:val="32"/>
          <w:szCs w:val="32"/>
        </w:rPr>
      </w:pPr>
      <w:bookmarkStart w:id="46" w:name="_Toc15377210"/>
      <w:r>
        <w:rPr>
          <w:rFonts w:hint="eastAsia" w:ascii="楷体_GB2312" w:hAnsi="楷体_GB2312" w:eastAsia="楷体_GB2312" w:cs="楷体_GB2312"/>
          <w:b/>
          <w:color w:val="000000"/>
          <w:sz w:val="32"/>
          <w:szCs w:val="32"/>
        </w:rPr>
        <w:t>（一）一般公共预算财政拨款支出决算总体情况</w:t>
      </w:r>
      <w:bookmarkEnd w:id="46"/>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eastAsia="仿宋_GB2312" w:cs="仿宋_GB2312"/>
          <w:color w:val="000000"/>
          <w:sz w:val="32"/>
          <w:szCs w:val="32"/>
          <w:lang w:val="en-US" w:eastAsia="zh-CN"/>
        </w:rPr>
        <w:t>176.96</w:t>
      </w:r>
      <w:r>
        <w:rPr>
          <w:rFonts w:hint="eastAsia" w:ascii="仿宋_GB2312" w:hAnsi="仿宋_GB2312" w:eastAsia="仿宋_GB2312" w:cs="仿宋_GB2312"/>
          <w:color w:val="000000"/>
          <w:sz w:val="32"/>
          <w:szCs w:val="32"/>
        </w:rPr>
        <w:t>万元，占本年支出合计的 100.00%。与</w:t>
      </w: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rPr>
        <w:t>年相比，一般公共预算财政拨款</w:t>
      </w:r>
      <w:r>
        <w:rPr>
          <w:rFonts w:hint="eastAsia" w:ascii="仿宋_GB2312" w:hAnsi="仿宋_GB2312" w:eastAsia="仿宋_GB2312" w:cs="仿宋_GB2312"/>
          <w:color w:val="000000"/>
          <w:sz w:val="32"/>
          <w:szCs w:val="32"/>
          <w:lang w:val="en-US" w:eastAsia="zh-CN"/>
        </w:rPr>
        <w:t>减少1.25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降低0.70</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2020年事业人员调出减少1人。</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6432" behindDoc="0" locked="0" layoutInCell="1" allowOverlap="1">
            <wp:simplePos x="0" y="0"/>
            <wp:positionH relativeFrom="column">
              <wp:posOffset>185420</wp:posOffset>
            </wp:positionH>
            <wp:positionV relativeFrom="paragraph">
              <wp:posOffset>90170</wp:posOffset>
            </wp:positionV>
            <wp:extent cx="4947285" cy="2362835"/>
            <wp:effectExtent l="4445" t="4445" r="20320"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hint="eastAsia" w:ascii="楷体_GB2312" w:hAnsi="楷体_GB2312" w:eastAsia="楷体_GB2312" w:cs="楷体_GB2312"/>
          <w:b/>
          <w:color w:val="000000"/>
          <w:sz w:val="32"/>
          <w:szCs w:val="32"/>
        </w:rPr>
      </w:pPr>
      <w:bookmarkStart w:id="47" w:name="_Toc15377211"/>
      <w:r>
        <w:rPr>
          <w:rFonts w:hint="eastAsia" w:ascii="楷体_GB2312" w:hAnsi="楷体_GB2312" w:eastAsia="楷体_GB2312" w:cs="楷体_GB2312"/>
          <w:b/>
          <w:color w:val="000000"/>
          <w:sz w:val="32"/>
          <w:szCs w:val="32"/>
        </w:rPr>
        <w:t>（二）一般公共预算财政拨款支出决算结构情况</w:t>
      </w:r>
      <w:bookmarkEnd w:id="47"/>
    </w:p>
    <w:p>
      <w:pPr>
        <w:spacing w:line="600" w:lineRule="exact"/>
        <w:ind w:firstLine="640"/>
        <w:rPr>
          <w:rFonts w:hint="eastAsia" w:ascii="仿宋_GB2312" w:hAnsi="仿宋_GB2312" w:eastAsia="仿宋_GB2312" w:cs="仿宋_GB2312"/>
          <w:color w:val="000000"/>
          <w:sz w:val="32"/>
          <w:szCs w:val="32"/>
        </w:rPr>
      </w:pPr>
      <w:r>
        <w:rPr>
          <w:rFonts w:hint="eastAsia" w:ascii="仿宋" w:hAnsi="仿宋" w:eastAsia="仿宋"/>
          <w:color w:val="000000"/>
          <w:sz w:val="32"/>
          <w:szCs w:val="32"/>
        </w:rPr>
        <w:t xml:space="preserve"> </w:t>
      </w:r>
      <w:r>
        <w:rPr>
          <w:rFonts w:hint="eastAsia" w:ascii="仿宋_GB2312" w:hAnsi="仿宋_GB2312" w:eastAsia="仿宋_GB2312" w:cs="仿宋_GB2312"/>
          <w:color w:val="000000"/>
          <w:sz w:val="32"/>
          <w:szCs w:val="32"/>
        </w:rPr>
        <w:t>2019年一般公共预算财政拨款支出</w:t>
      </w:r>
      <w:r>
        <w:rPr>
          <w:rFonts w:hint="eastAsia" w:ascii="仿宋_GB2312" w:hAnsi="仿宋_GB2312" w:eastAsia="仿宋_GB2312" w:cs="仿宋_GB2312"/>
          <w:color w:val="000000"/>
          <w:sz w:val="32"/>
          <w:szCs w:val="32"/>
          <w:lang w:val="en-US" w:eastAsia="zh-CN"/>
        </w:rPr>
        <w:t>176.96</w:t>
      </w:r>
      <w:r>
        <w:rPr>
          <w:rFonts w:hint="eastAsia" w:ascii="仿宋_GB2312" w:hAnsi="仿宋_GB2312" w:eastAsia="仿宋_GB2312" w:cs="仿宋_GB2312"/>
          <w:color w:val="000000"/>
          <w:sz w:val="32"/>
          <w:szCs w:val="32"/>
        </w:rPr>
        <w:t>万元，主要用于以下方面:一般公共服务（类）支出0.00万元，占0.00%；外交支出（类）0.00万元，占0.00%，国防支出（类）0.00万元，占0.00%；公共安全支出（类）0.00万元，占0.00%；教育支出（类）0.00万元，占0.00%；科学技术（类）支出0.00万元，占0.00%；文化旅游体育与传媒（类）支出0.00万元，占0.00%；社会保障和就业（类）支出</w:t>
      </w:r>
      <w:r>
        <w:rPr>
          <w:rFonts w:hint="eastAsia" w:ascii="仿宋_GB2312" w:hAnsi="仿宋_GB2312" w:eastAsia="仿宋_GB2312" w:cs="仿宋_GB2312"/>
          <w:color w:val="000000"/>
          <w:sz w:val="32"/>
          <w:szCs w:val="32"/>
          <w:lang w:val="en-US" w:eastAsia="zh-CN"/>
        </w:rPr>
        <w:t>18.37</w:t>
      </w:r>
      <w:r>
        <w:rPr>
          <w:rFonts w:hint="eastAsia" w:ascii="仿宋_GB2312" w:hAnsi="仿宋_GB2312" w:eastAsia="仿宋_GB2312" w:cs="仿宋_GB2312"/>
          <w:color w:val="000000"/>
          <w:sz w:val="32"/>
          <w:szCs w:val="32"/>
        </w:rPr>
        <w:t>万元，占10.</w:t>
      </w: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%；卫生健康支出（类）</w:t>
      </w:r>
      <w:r>
        <w:rPr>
          <w:rFonts w:hint="eastAsia" w:ascii="仿宋_GB2312" w:hAnsi="仿宋_GB2312" w:eastAsia="仿宋_GB2312" w:cs="仿宋_GB2312"/>
          <w:color w:val="000000"/>
          <w:sz w:val="32"/>
          <w:szCs w:val="32"/>
          <w:lang w:val="en-US" w:eastAsia="zh-CN"/>
        </w:rPr>
        <w:t>9.41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5.32</w:t>
      </w:r>
      <w:r>
        <w:rPr>
          <w:rFonts w:hint="eastAsia" w:ascii="仿宋_GB2312" w:hAnsi="仿宋_GB2312" w:eastAsia="仿宋_GB2312" w:cs="仿宋_GB2312"/>
          <w:color w:val="000000"/>
          <w:sz w:val="32"/>
          <w:szCs w:val="32"/>
        </w:rPr>
        <w:t>%；节能环保支出（类）0.00万元，占0.00%；城乡社区支出（类）</w:t>
      </w:r>
      <w:r>
        <w:rPr>
          <w:rFonts w:hint="eastAsia" w:ascii="仿宋_GB2312" w:hAnsi="仿宋_GB2312" w:eastAsia="仿宋_GB2312" w:cs="仿宋_GB2312"/>
          <w:color w:val="000000"/>
          <w:sz w:val="32"/>
          <w:szCs w:val="32"/>
          <w:lang w:val="en-US" w:eastAsia="zh-CN"/>
        </w:rPr>
        <w:t>136.40</w:t>
      </w:r>
      <w:r>
        <w:rPr>
          <w:rFonts w:hint="eastAsia" w:ascii="仿宋_GB2312" w:hAnsi="仿宋_GB2312" w:eastAsia="仿宋_GB2312" w:cs="仿宋_GB2312"/>
          <w:color w:val="000000"/>
          <w:sz w:val="32"/>
          <w:szCs w:val="32"/>
        </w:rPr>
        <w:t>万元，占77.</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农林水支出（类）0.00万元，占0.00%；交通运输支出（类）0.00万元，占0.00%；资源勘探信息等支出（类）0.00万元，占0.00%；商业服务业等支出（类）0.00万元，占0.00%；金融支出（类）0.00万元，占0.00%；援助其他地区支出（类）0.00万元，占0.00%；自然资源海洋气象等支出（类）0.00万元，占0.00%；住房保障支出（类）12.</w:t>
      </w:r>
      <w:r>
        <w:rPr>
          <w:rFonts w:hint="eastAsia" w:ascii="仿宋_GB2312" w:hAnsi="仿宋_GB2312" w:eastAsia="仿宋_GB2312" w:cs="仿宋_GB2312"/>
          <w:color w:val="000000"/>
          <w:sz w:val="32"/>
          <w:szCs w:val="32"/>
          <w:lang w:val="en-US" w:eastAsia="zh-CN"/>
        </w:rPr>
        <w:t>78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7.22</w:t>
      </w:r>
      <w:r>
        <w:rPr>
          <w:rFonts w:hint="eastAsia" w:ascii="仿宋_GB2312" w:hAnsi="仿宋_GB2312" w:eastAsia="仿宋_GB2312" w:cs="仿宋_GB2312"/>
          <w:color w:val="000000"/>
          <w:sz w:val="32"/>
          <w:szCs w:val="32"/>
        </w:rPr>
        <w:t>%；粮油物资储备支出（类）0.00万元，占0.00%；灾害防治及应急管理支出（类）0.00万元，占0.00%；其他支出（类）0.00万元，占0.00%；债务还本支出（类）0.00万元，占0.00%；债务付息支出（类）0.00万元，占0.00%。</w:t>
      </w:r>
    </w:p>
    <w:p>
      <w:pPr>
        <w:spacing w:line="600" w:lineRule="exact"/>
        <w:ind w:firstLine="640"/>
        <w:rPr>
          <w:rFonts w:hint="eastAsia" w:ascii="仿宋" w:hAnsi="仿宋" w:eastAsia="仿宋"/>
          <w:color w:val="000000"/>
          <w:sz w:val="32"/>
          <w:szCs w:val="32"/>
        </w:rPr>
      </w:pPr>
      <w:r>
        <w:rPr>
          <w:rFonts w:hint="eastAsia" w:ascii="仿宋_GB2312" w:hAnsi="仿宋_GB2312" w:eastAsia="仿宋_GB2312" w:cs="仿宋_GB2312"/>
          <w:color w:val="000000"/>
          <w:sz w:val="32"/>
          <w:szCs w:val="32"/>
        </w:rPr>
        <w:drawing>
          <wp:anchor distT="0" distB="0" distL="0" distR="0" simplePos="0" relativeHeight="251667456" behindDoc="0" locked="0" layoutInCell="1" allowOverlap="1">
            <wp:simplePos x="0" y="0"/>
            <wp:positionH relativeFrom="column">
              <wp:posOffset>581025</wp:posOffset>
            </wp:positionH>
            <wp:positionV relativeFrom="paragraph">
              <wp:posOffset>266700</wp:posOffset>
            </wp:positionV>
            <wp:extent cx="2999105" cy="2020570"/>
            <wp:effectExtent l="0" t="0" r="0" b="0"/>
            <wp:wrapSquare wrapText="bothSides"/>
            <wp:docPr id="8"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hint="eastAsia" w:ascii="楷体_GB2312" w:hAnsi="楷体_GB2312" w:eastAsia="楷体_GB2312" w:cs="楷体_GB2312"/>
          <w:b/>
          <w:color w:val="000000"/>
          <w:sz w:val="32"/>
          <w:szCs w:val="32"/>
        </w:rPr>
      </w:pPr>
      <w:bookmarkStart w:id="48" w:name="_Toc15377212"/>
      <w:r>
        <w:rPr>
          <w:rFonts w:hint="eastAsia" w:ascii="楷体_GB2312" w:hAnsi="楷体_GB2312" w:eastAsia="楷体_GB2312" w:cs="楷体_GB2312"/>
          <w:b/>
          <w:color w:val="000000"/>
          <w:sz w:val="32"/>
          <w:szCs w:val="32"/>
        </w:rPr>
        <w:t>（三）一般公共预算财政拨款支出决算具体情况</w:t>
      </w:r>
      <w:bookmarkEnd w:id="48"/>
    </w:p>
    <w:p>
      <w:pPr>
        <w:spacing w:line="600"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b w:val="0"/>
          <w:bCs/>
          <w:color w:val="000000" w:themeColor="text1"/>
          <w:sz w:val="32"/>
          <w:szCs w:val="32"/>
          <w14:textFill>
            <w14:solidFill>
              <w14:schemeClr w14:val="tx1"/>
            </w14:solidFill>
          </w14:textFill>
        </w:rPr>
        <w:t>年一般公共预算支出决算数为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176.96万元</w:t>
      </w:r>
      <w:r>
        <w:rPr>
          <w:rFonts w:hint="eastAsia" w:ascii="仿宋_GB2312" w:hAnsi="仿宋_GB2312" w:eastAsia="仿宋_GB2312" w:cs="仿宋_GB2312"/>
          <w:b w:val="0"/>
          <w:bCs/>
          <w:color w:val="000000" w:themeColor="text1"/>
          <w:sz w:val="32"/>
          <w:szCs w:val="32"/>
          <w14:textFill>
            <w14:solidFill>
              <w14:schemeClr w14:val="tx1"/>
            </w14:solidFill>
          </w14:textFill>
        </w:rPr>
        <w:t>，完成预算100.00%。其中：</w:t>
      </w:r>
    </w:p>
    <w:p>
      <w:pPr>
        <w:numPr>
          <w:ilvl w:val="0"/>
          <w:numId w:val="0"/>
        </w:numPr>
        <w:spacing w:line="600" w:lineRule="exact"/>
        <w:ind w:firstLine="640" w:firstLineChars="200"/>
        <w:rPr>
          <w:rStyle w:val="14"/>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 w:val="0"/>
          <w:bCs/>
          <w:color w:val="000000"/>
          <w:sz w:val="32"/>
          <w:szCs w:val="32"/>
          <w:lang w:val="en-US" w:eastAsia="zh-CN"/>
        </w:rPr>
        <w:t>1.</w:t>
      </w:r>
      <w:r>
        <w:rPr>
          <w:rStyle w:val="14"/>
          <w:rFonts w:hint="eastAsia" w:ascii="仿宋_GB2312" w:hAnsi="仿宋_GB2312" w:eastAsia="仿宋_GB2312" w:cs="仿宋_GB2312"/>
          <w:b w:val="0"/>
          <w:bCs/>
          <w:color w:val="000000"/>
          <w:sz w:val="32"/>
          <w:szCs w:val="32"/>
        </w:rPr>
        <w:t>城乡社区支出（类）：支出决算为</w:t>
      </w:r>
      <w:r>
        <w:rPr>
          <w:rStyle w:val="14"/>
          <w:rFonts w:hint="eastAsia" w:ascii="仿宋_GB2312" w:hAnsi="仿宋_GB2312" w:eastAsia="仿宋_GB2312" w:cs="仿宋_GB2312"/>
          <w:b w:val="0"/>
          <w:bCs/>
          <w:color w:val="000000"/>
          <w:sz w:val="32"/>
          <w:szCs w:val="32"/>
          <w:lang w:val="en-US" w:eastAsia="zh-CN"/>
        </w:rPr>
        <w:t>138.11</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numPr>
          <w:ilvl w:val="0"/>
          <w:numId w:val="0"/>
        </w:numPr>
        <w:spacing w:line="600" w:lineRule="exact"/>
        <w:ind w:firstLine="640" w:firstLineChars="200"/>
        <w:rPr>
          <w:rStyle w:val="14"/>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 w:val="0"/>
          <w:bCs/>
          <w:color w:val="000000"/>
          <w:sz w:val="32"/>
          <w:szCs w:val="32"/>
        </w:rPr>
        <w:t>城乡社区管理事务（款）：支出决算为</w:t>
      </w:r>
      <w:r>
        <w:rPr>
          <w:rStyle w:val="14"/>
          <w:rFonts w:hint="eastAsia" w:ascii="仿宋_GB2312" w:hAnsi="仿宋_GB2312" w:eastAsia="仿宋_GB2312" w:cs="仿宋_GB2312"/>
          <w:b w:val="0"/>
          <w:bCs/>
          <w:color w:val="000000"/>
          <w:sz w:val="32"/>
          <w:szCs w:val="32"/>
          <w:lang w:val="en-US" w:eastAsia="zh-CN"/>
        </w:rPr>
        <w:t>112.23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numPr>
          <w:ilvl w:val="0"/>
          <w:numId w:val="0"/>
        </w:num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其他城乡社区管理事务支出（项）: 支出决算为</w:t>
      </w:r>
      <w:r>
        <w:rPr>
          <w:rStyle w:val="14"/>
          <w:rFonts w:hint="eastAsia" w:ascii="仿宋_GB2312" w:hAnsi="仿宋_GB2312" w:eastAsia="仿宋_GB2312" w:cs="仿宋_GB2312"/>
          <w:b w:val="0"/>
          <w:bCs/>
          <w:color w:val="000000"/>
          <w:sz w:val="32"/>
          <w:szCs w:val="32"/>
          <w:lang w:val="en-US" w:eastAsia="zh-CN"/>
        </w:rPr>
        <w:t>112.23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2.住房保障支出（类）：支出决算为</w:t>
      </w:r>
      <w:r>
        <w:rPr>
          <w:rStyle w:val="14"/>
          <w:rFonts w:hint="eastAsia" w:ascii="仿宋_GB2312" w:hAnsi="仿宋_GB2312" w:eastAsia="仿宋_GB2312" w:cs="仿宋_GB2312"/>
          <w:b w:val="0"/>
          <w:bCs/>
          <w:color w:val="000000"/>
          <w:sz w:val="32"/>
          <w:szCs w:val="32"/>
          <w:lang w:val="en-US" w:eastAsia="zh-CN"/>
        </w:rPr>
        <w:t>12.29</w:t>
      </w:r>
      <w:r>
        <w:rPr>
          <w:rStyle w:val="14"/>
          <w:rFonts w:hint="eastAsia" w:ascii="仿宋_GB2312" w:hAnsi="仿宋_GB2312" w:eastAsia="仿宋_GB2312" w:cs="仿宋_GB2312"/>
          <w:b w:val="0"/>
          <w:bCs/>
          <w:color w:val="000000"/>
          <w:sz w:val="32"/>
          <w:szCs w:val="32"/>
        </w:rPr>
        <w:t>万元，完成预算100%。</w:t>
      </w:r>
    </w:p>
    <w:p>
      <w:p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住房改革支出（款）：支出决算为</w:t>
      </w:r>
      <w:r>
        <w:rPr>
          <w:rStyle w:val="14"/>
          <w:rFonts w:hint="eastAsia" w:ascii="仿宋_GB2312" w:hAnsi="仿宋_GB2312" w:eastAsia="仿宋_GB2312" w:cs="仿宋_GB2312"/>
          <w:b w:val="0"/>
          <w:bCs/>
          <w:color w:val="000000"/>
          <w:sz w:val="32"/>
          <w:szCs w:val="32"/>
          <w:lang w:val="en-US" w:eastAsia="zh-CN"/>
        </w:rPr>
        <w:t>12.78</w:t>
      </w:r>
      <w:r>
        <w:rPr>
          <w:rStyle w:val="14"/>
          <w:rFonts w:hint="eastAsia" w:ascii="仿宋_GB2312" w:hAnsi="仿宋_GB2312" w:eastAsia="仿宋_GB2312" w:cs="仿宋_GB2312"/>
          <w:b w:val="0"/>
          <w:bCs/>
          <w:color w:val="000000"/>
          <w:sz w:val="32"/>
          <w:szCs w:val="32"/>
        </w:rPr>
        <w:t>万元，完成预算100%。</w:t>
      </w:r>
    </w:p>
    <w:p>
      <w:p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住房公积金（项）: 支出决算为</w:t>
      </w:r>
      <w:r>
        <w:rPr>
          <w:rStyle w:val="14"/>
          <w:rFonts w:hint="eastAsia" w:ascii="仿宋_GB2312" w:hAnsi="仿宋_GB2312" w:eastAsia="仿宋_GB2312" w:cs="仿宋_GB2312"/>
          <w:b w:val="0"/>
          <w:bCs/>
          <w:color w:val="000000"/>
          <w:sz w:val="32"/>
          <w:szCs w:val="32"/>
          <w:lang w:val="en-US" w:eastAsia="zh-CN"/>
        </w:rPr>
        <w:t>12.78</w:t>
      </w:r>
      <w:r>
        <w:rPr>
          <w:rStyle w:val="14"/>
          <w:rFonts w:hint="eastAsia" w:ascii="仿宋_GB2312" w:hAnsi="仿宋_GB2312" w:eastAsia="仿宋_GB2312" w:cs="仿宋_GB2312"/>
          <w:b w:val="0"/>
          <w:bCs/>
          <w:color w:val="000000"/>
          <w:sz w:val="32"/>
          <w:szCs w:val="32"/>
        </w:rPr>
        <w:t>万元，完成预算100%。</w:t>
      </w:r>
    </w:p>
    <w:p>
      <w:p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3.社会保障和就业支出（类）：支出决算为</w:t>
      </w:r>
      <w:r>
        <w:rPr>
          <w:rStyle w:val="14"/>
          <w:rFonts w:hint="eastAsia" w:ascii="仿宋_GB2312" w:hAnsi="仿宋_GB2312" w:eastAsia="仿宋_GB2312" w:cs="仿宋_GB2312"/>
          <w:b w:val="0"/>
          <w:bCs/>
          <w:color w:val="000000"/>
          <w:sz w:val="32"/>
          <w:szCs w:val="32"/>
          <w:lang w:val="en-US" w:eastAsia="zh-CN"/>
        </w:rPr>
        <w:t>18.37</w:t>
      </w:r>
      <w:r>
        <w:rPr>
          <w:rStyle w:val="14"/>
          <w:rFonts w:hint="eastAsia" w:ascii="仿宋_GB2312" w:hAnsi="仿宋_GB2312" w:eastAsia="仿宋_GB2312" w:cs="仿宋_GB2312"/>
          <w:b w:val="0"/>
          <w:bCs/>
          <w:color w:val="000000"/>
          <w:sz w:val="32"/>
          <w:szCs w:val="32"/>
        </w:rPr>
        <w:t>万元，完成预算100%。</w:t>
      </w:r>
    </w:p>
    <w:p>
      <w:p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行政事业单位离退休（款）：支出决算为</w:t>
      </w:r>
      <w:r>
        <w:rPr>
          <w:rStyle w:val="14"/>
          <w:rFonts w:hint="eastAsia" w:ascii="仿宋_GB2312" w:hAnsi="仿宋_GB2312" w:eastAsia="仿宋_GB2312" w:cs="仿宋_GB2312"/>
          <w:b w:val="0"/>
          <w:bCs/>
          <w:color w:val="000000"/>
          <w:sz w:val="32"/>
          <w:szCs w:val="32"/>
          <w:lang w:val="en-US" w:eastAsia="zh-CN"/>
        </w:rPr>
        <w:t>18.37</w:t>
      </w:r>
      <w:r>
        <w:rPr>
          <w:rStyle w:val="14"/>
          <w:rFonts w:hint="eastAsia" w:ascii="仿宋_GB2312" w:hAnsi="仿宋_GB2312" w:eastAsia="仿宋_GB2312" w:cs="仿宋_GB2312"/>
          <w:b w:val="0"/>
          <w:bCs/>
          <w:color w:val="000000"/>
          <w:sz w:val="32"/>
          <w:szCs w:val="32"/>
        </w:rPr>
        <w:t>万元，完成预算100%。</w:t>
      </w:r>
    </w:p>
    <w:p>
      <w:p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机关事业单位基本养老保险缴费支出（项）：支出决算为</w:t>
      </w:r>
      <w:r>
        <w:rPr>
          <w:rStyle w:val="14"/>
          <w:rFonts w:hint="eastAsia" w:ascii="仿宋_GB2312" w:hAnsi="仿宋_GB2312" w:eastAsia="仿宋_GB2312" w:cs="仿宋_GB2312"/>
          <w:b w:val="0"/>
          <w:bCs/>
          <w:color w:val="000000"/>
          <w:sz w:val="32"/>
          <w:szCs w:val="32"/>
          <w:lang w:val="en-US" w:eastAsia="zh-CN"/>
        </w:rPr>
        <w:t>12.28</w:t>
      </w:r>
      <w:r>
        <w:rPr>
          <w:rStyle w:val="14"/>
          <w:rFonts w:hint="eastAsia" w:ascii="仿宋_GB2312" w:hAnsi="仿宋_GB2312" w:eastAsia="仿宋_GB2312" w:cs="仿宋_GB2312"/>
          <w:b w:val="0"/>
          <w:bCs/>
          <w:color w:val="000000"/>
          <w:sz w:val="32"/>
          <w:szCs w:val="32"/>
        </w:rPr>
        <w:t>万元，完成预算100%。</w:t>
      </w:r>
    </w:p>
    <w:p>
      <w:p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机关事业单位职业年金缴费支出（项）:支出决算为</w:t>
      </w:r>
      <w:r>
        <w:rPr>
          <w:rStyle w:val="14"/>
          <w:rFonts w:hint="eastAsia" w:ascii="仿宋_GB2312" w:hAnsi="仿宋_GB2312" w:eastAsia="仿宋_GB2312" w:cs="仿宋_GB2312"/>
          <w:b w:val="0"/>
          <w:bCs/>
          <w:color w:val="000000"/>
          <w:sz w:val="32"/>
          <w:szCs w:val="32"/>
          <w:lang w:val="en-US" w:eastAsia="zh-CN"/>
        </w:rPr>
        <w:t>6.09</w:t>
      </w:r>
      <w:r>
        <w:rPr>
          <w:rStyle w:val="14"/>
          <w:rFonts w:hint="eastAsia" w:ascii="仿宋_GB2312" w:hAnsi="仿宋_GB2312" w:eastAsia="仿宋_GB2312" w:cs="仿宋_GB2312"/>
          <w:b w:val="0"/>
          <w:bCs/>
          <w:color w:val="000000"/>
          <w:sz w:val="32"/>
          <w:szCs w:val="32"/>
        </w:rPr>
        <w:t>万元，完成预算100%。</w:t>
      </w:r>
    </w:p>
    <w:p>
      <w:p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4.</w:t>
      </w:r>
      <w:r>
        <w:rPr>
          <w:rStyle w:val="14"/>
          <w:rFonts w:hint="eastAsia" w:ascii="仿宋_GB2312" w:hAnsi="仿宋_GB2312" w:eastAsia="仿宋_GB2312" w:cs="仿宋_GB2312"/>
          <w:b w:val="0"/>
          <w:bCs/>
          <w:color w:val="000000"/>
          <w:sz w:val="32"/>
          <w:szCs w:val="32"/>
          <w:lang w:val="en-US" w:eastAsia="zh-CN"/>
        </w:rPr>
        <w:t>卫生健康支出</w:t>
      </w:r>
      <w:r>
        <w:rPr>
          <w:rStyle w:val="14"/>
          <w:rFonts w:hint="eastAsia" w:ascii="仿宋_GB2312" w:hAnsi="仿宋_GB2312" w:eastAsia="仿宋_GB2312" w:cs="仿宋_GB2312"/>
          <w:b w:val="0"/>
          <w:bCs/>
          <w:color w:val="000000"/>
          <w:sz w:val="32"/>
          <w:szCs w:val="32"/>
        </w:rPr>
        <w:t>（类）：支出决算为</w:t>
      </w:r>
      <w:r>
        <w:rPr>
          <w:rStyle w:val="14"/>
          <w:rFonts w:hint="eastAsia" w:ascii="仿宋_GB2312" w:hAnsi="仿宋_GB2312" w:eastAsia="仿宋_GB2312" w:cs="仿宋_GB2312"/>
          <w:b w:val="0"/>
          <w:bCs/>
          <w:color w:val="000000"/>
          <w:sz w:val="32"/>
          <w:szCs w:val="32"/>
          <w:lang w:val="en-US" w:eastAsia="zh-CN"/>
        </w:rPr>
        <w:t>9.41</w:t>
      </w:r>
      <w:r>
        <w:rPr>
          <w:rStyle w:val="14"/>
          <w:rFonts w:hint="eastAsia" w:ascii="仿宋_GB2312" w:hAnsi="仿宋_GB2312" w:eastAsia="仿宋_GB2312" w:cs="仿宋_GB2312"/>
          <w:b w:val="0"/>
          <w:bCs/>
          <w:color w:val="000000"/>
          <w:sz w:val="32"/>
          <w:szCs w:val="32"/>
        </w:rPr>
        <w:t>万元，完成预算100%。</w:t>
      </w:r>
    </w:p>
    <w:p>
      <w:pPr>
        <w:spacing w:line="60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事业单位医疗（项）:支出决算为</w:t>
      </w:r>
      <w:r>
        <w:rPr>
          <w:rStyle w:val="14"/>
          <w:rFonts w:hint="eastAsia" w:ascii="仿宋_GB2312" w:hAnsi="仿宋_GB2312" w:eastAsia="仿宋_GB2312" w:cs="仿宋_GB2312"/>
          <w:b w:val="0"/>
          <w:bCs/>
          <w:color w:val="000000"/>
          <w:sz w:val="32"/>
          <w:szCs w:val="32"/>
          <w:lang w:val="en-US" w:eastAsia="zh-CN"/>
        </w:rPr>
        <w:t>7.78</w:t>
      </w:r>
      <w:r>
        <w:rPr>
          <w:rStyle w:val="14"/>
          <w:rFonts w:hint="eastAsia" w:ascii="仿宋_GB2312" w:hAnsi="仿宋_GB2312" w:eastAsia="仿宋_GB2312" w:cs="仿宋_GB2312"/>
          <w:b w:val="0"/>
          <w:bCs/>
          <w:color w:val="000000"/>
          <w:sz w:val="32"/>
          <w:szCs w:val="32"/>
        </w:rPr>
        <w:t>万元，完成预算100%。</w:t>
      </w:r>
    </w:p>
    <w:p>
      <w:pPr>
        <w:spacing w:line="600" w:lineRule="exact"/>
        <w:ind w:firstLine="640" w:firstLineChars="200"/>
        <w:rPr>
          <w:rFonts w:hint="eastAsia" w:ascii="仿宋_GB2312" w:hAnsi="仿宋_GB2312" w:eastAsia="仿宋_GB2312" w:cs="仿宋_GB2312"/>
          <w:b w:val="0"/>
          <w:bCs/>
          <w:color w:val="000000"/>
          <w:sz w:val="32"/>
          <w:szCs w:val="32"/>
          <w:lang w:eastAsia="zh-CN"/>
        </w:rPr>
      </w:pPr>
      <w:r>
        <w:rPr>
          <w:rStyle w:val="14"/>
          <w:rFonts w:hint="eastAsia" w:ascii="仿宋_GB2312" w:hAnsi="仿宋_GB2312" w:eastAsia="仿宋_GB2312" w:cs="仿宋_GB2312"/>
          <w:b w:val="0"/>
          <w:bCs/>
          <w:color w:val="000000"/>
          <w:sz w:val="32"/>
          <w:szCs w:val="32"/>
        </w:rPr>
        <w:t>其他行政事业单位医疗支出（项）：支出决算为</w:t>
      </w:r>
      <w:r>
        <w:rPr>
          <w:rStyle w:val="14"/>
          <w:rFonts w:hint="eastAsia" w:ascii="仿宋_GB2312" w:hAnsi="仿宋_GB2312" w:eastAsia="仿宋_GB2312" w:cs="仿宋_GB2312"/>
          <w:b w:val="0"/>
          <w:bCs/>
          <w:color w:val="000000"/>
          <w:sz w:val="32"/>
          <w:szCs w:val="32"/>
          <w:lang w:val="en-US" w:eastAsia="zh-CN"/>
        </w:rPr>
        <w:t>1.63</w:t>
      </w:r>
      <w:r>
        <w:rPr>
          <w:rStyle w:val="14"/>
          <w:rFonts w:hint="eastAsia" w:ascii="仿宋_GB2312" w:hAnsi="仿宋_GB2312" w:eastAsia="仿宋_GB2312" w:cs="仿宋_GB2312"/>
          <w:b w:val="0"/>
          <w:bCs/>
          <w:color w:val="000000"/>
          <w:sz w:val="32"/>
          <w:szCs w:val="32"/>
        </w:rPr>
        <w:t>万元，完成预算100%</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0" w:firstLineChars="200"/>
        <w:rPr>
          <w:rFonts w:hint="eastAsia" w:ascii="仿宋" w:hAnsi="仿宋" w:eastAsia="仿宋"/>
          <w:color w:val="000000"/>
          <w:sz w:val="32"/>
          <w:szCs w:val="32"/>
        </w:rPr>
      </w:pPr>
      <w:bookmarkStart w:id="108" w:name="_GoBack"/>
      <w:bookmarkEnd w:id="108"/>
    </w:p>
    <w:p>
      <w:pPr>
        <w:tabs>
          <w:tab w:val="right" w:pos="8306"/>
        </w:tabs>
        <w:spacing w:line="600" w:lineRule="exact"/>
        <w:ind w:firstLine="640"/>
        <w:outlineLvl w:val="1"/>
        <w:rPr>
          <w:rStyle w:val="25"/>
        </w:rPr>
      </w:pPr>
      <w:bookmarkStart w:id="49" w:name="_Toc15396608"/>
      <w:bookmarkStart w:id="50" w:name="_Toc15377214"/>
      <w:bookmarkStart w:id="51" w:name="_Toc2128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9"/>
      <w:bookmarkEnd w:id="50"/>
      <w:bookmarkEnd w:id="51"/>
      <w:r>
        <w:rPr>
          <w:rStyle w:val="25"/>
          <w:rFonts w:ascii="黑体" w:hAnsi="黑体" w:eastAsia="黑体"/>
          <w:b w:val="0"/>
        </w:rPr>
        <w:tab/>
      </w:r>
    </w:p>
    <w:p>
      <w:pPr>
        <w:spacing w:line="600" w:lineRule="exact"/>
        <w:ind w:firstLine="640" w:firstLineChars="200"/>
        <w:outlineLvl w:val="1"/>
        <w:rPr>
          <w:rFonts w:hint="eastAsia" w:ascii="仿宋_GB2312" w:hAnsi="仿宋_GB2312" w:eastAsia="仿宋_GB2312" w:cs="仿宋_GB2312"/>
          <w:color w:val="000000"/>
          <w:sz w:val="32"/>
          <w:szCs w:val="32"/>
        </w:rPr>
      </w:pPr>
      <w:bookmarkStart w:id="52" w:name="_Toc10094"/>
      <w:bookmarkStart w:id="53" w:name="_Toc25107"/>
      <w:bookmarkStart w:id="54" w:name="_Toc15377215"/>
      <w:bookmarkStart w:id="55" w:name="_Toc15396609"/>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eastAsia="仿宋_GB2312" w:cs="仿宋_GB2312"/>
          <w:color w:val="000000"/>
          <w:sz w:val="32"/>
          <w:szCs w:val="32"/>
          <w:lang w:val="en-US" w:eastAsia="zh-CN"/>
        </w:rPr>
        <w:t>176.96</w:t>
      </w:r>
      <w:r>
        <w:rPr>
          <w:rFonts w:hint="eastAsia" w:ascii="仿宋_GB2312" w:hAnsi="仿宋_GB2312" w:eastAsia="仿宋_GB2312" w:cs="仿宋_GB2312"/>
          <w:color w:val="000000"/>
          <w:sz w:val="32"/>
          <w:szCs w:val="32"/>
        </w:rPr>
        <w:t>万元，其中：</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sz w:val="32"/>
          <w:szCs w:val="32"/>
        </w:rPr>
      </w:pPr>
      <w:bookmarkStart w:id="56" w:name="_Toc32700"/>
      <w:bookmarkStart w:id="57" w:name="_Toc7905"/>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147.54</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 其 他社会保障缴费、住房公积金、其他对个人和家庭的补助支出等。</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sz w:val="32"/>
          <w:szCs w:val="32"/>
          <w:lang w:val="en-US" w:eastAsia="zh-CN"/>
        </w:rPr>
      </w:pPr>
      <w:bookmarkStart w:id="58" w:name="_Toc10785"/>
      <w:bookmarkStart w:id="59" w:name="_Toc8872"/>
      <w:r>
        <w:rPr>
          <w:rFonts w:hint="eastAsia" w:ascii="仿宋_GB2312" w:hAnsi="仿宋_GB2312" w:eastAsia="仿宋_GB2312" w:cs="仿宋_GB2312"/>
          <w:color w:val="000000"/>
          <w:sz w:val="32"/>
          <w:szCs w:val="32"/>
        </w:rPr>
        <w:t>日常公用经费</w:t>
      </w:r>
      <w:r>
        <w:rPr>
          <w:rFonts w:hint="eastAsia" w:ascii="仿宋_GB2312" w:hAnsi="仿宋_GB2312" w:eastAsia="仿宋_GB2312" w:cs="仿宋_GB2312"/>
          <w:color w:val="000000"/>
          <w:sz w:val="32"/>
          <w:szCs w:val="32"/>
          <w:lang w:val="en-US" w:eastAsia="zh-CN"/>
        </w:rPr>
        <w:t>29.43</w:t>
      </w:r>
      <w:r>
        <w:rPr>
          <w:rFonts w:hint="eastAsia" w:ascii="仿宋_GB2312" w:hAnsi="仿宋_GB2312" w:eastAsia="仿宋_GB2312" w:cs="仿宋_GB2312"/>
          <w:color w:val="000000"/>
          <w:sz w:val="32"/>
          <w:szCs w:val="32"/>
        </w:rPr>
        <w:t>万元，主要包括：办公费、印刷费、咨询费、手续费、水费、电费、邮电费、取暖费、差旅费、维修（护）费、租赁费、会议费、培训费、公务接待费、劳务费、委托业务费、福利费</w:t>
      </w:r>
      <w:bookmarkEnd w:id="58"/>
      <w:bookmarkEnd w:id="59"/>
      <w:r>
        <w:rPr>
          <w:rFonts w:hint="eastAsia" w:ascii="仿宋_GB2312" w:hAnsi="仿宋_GB2312" w:eastAsia="仿宋_GB2312" w:cs="仿宋_GB2312"/>
          <w:color w:val="000000"/>
          <w:sz w:val="32"/>
          <w:szCs w:val="32"/>
          <w:lang w:val="en-US" w:eastAsia="zh-CN"/>
        </w:rPr>
        <w:t>等。</w:t>
      </w:r>
    </w:p>
    <w:p>
      <w:pPr>
        <w:spacing w:line="600" w:lineRule="exact"/>
        <w:ind w:firstLine="640"/>
        <w:outlineLvl w:val="1"/>
        <w:rPr>
          <w:rStyle w:val="25"/>
          <w:rFonts w:ascii="黑体" w:hAnsi="黑体" w:eastAsia="黑体"/>
          <w:b w:val="0"/>
        </w:rPr>
      </w:pPr>
      <w:bookmarkStart w:id="60" w:name="_Toc17438"/>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4"/>
      <w:bookmarkEnd w:id="55"/>
      <w:bookmarkEnd w:id="60"/>
    </w:p>
    <w:p>
      <w:pPr>
        <w:spacing w:line="600" w:lineRule="exact"/>
        <w:ind w:firstLine="640"/>
        <w:outlineLvl w:val="2"/>
        <w:rPr>
          <w:rFonts w:hint="eastAsia" w:ascii="楷体_GB2312" w:hAnsi="楷体_GB2312" w:eastAsia="楷体_GB2312" w:cs="楷体_GB2312"/>
          <w:b/>
          <w:color w:val="000000"/>
          <w:sz w:val="32"/>
          <w:szCs w:val="32"/>
        </w:rPr>
      </w:pPr>
      <w:bookmarkStart w:id="61" w:name="_Toc15377216"/>
      <w:r>
        <w:rPr>
          <w:rFonts w:hint="eastAsia" w:ascii="楷体_GB2312" w:hAnsi="楷体_GB2312" w:eastAsia="楷体_GB2312" w:cs="楷体_GB2312"/>
          <w:b/>
          <w:color w:val="000000"/>
          <w:sz w:val="32"/>
          <w:szCs w:val="32"/>
        </w:rPr>
        <w:t>（一）“三公”经费财政拨款支出决算总体情况说明</w:t>
      </w:r>
      <w:bookmarkEnd w:id="61"/>
    </w:p>
    <w:p>
      <w:pPr>
        <w:spacing w:line="600" w:lineRule="exact"/>
        <w:ind w:firstLine="640" w:firstLineChars="200"/>
        <w:rPr>
          <w:rFonts w:hint="eastAsia" w:ascii="仿宋_GB2312" w:hAnsi="仿宋_GB2312" w:eastAsia="仿宋_GB2312" w:cs="仿宋_GB2312"/>
          <w:b/>
          <w:color w:val="FF0000"/>
          <w:sz w:val="32"/>
          <w:szCs w:val="32"/>
          <w:lang w:eastAsia="zh-CN"/>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年“三公”经费财政拨款支出决算为0.</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600" w:lineRule="exact"/>
        <w:ind w:firstLine="640"/>
        <w:outlineLvl w:val="2"/>
        <w:rPr>
          <w:rFonts w:hint="eastAsia" w:ascii="楷体_GB2312" w:hAnsi="楷体_GB2312" w:eastAsia="楷体_GB2312" w:cs="楷体_GB2312"/>
          <w:b/>
          <w:color w:val="000000"/>
          <w:sz w:val="32"/>
          <w:szCs w:val="32"/>
        </w:rPr>
      </w:pPr>
      <w:bookmarkStart w:id="62" w:name="_Toc15377217"/>
      <w:r>
        <w:rPr>
          <w:rFonts w:hint="eastAsia" w:ascii="楷体_GB2312" w:hAnsi="楷体_GB2312" w:eastAsia="楷体_GB2312" w:cs="楷体_GB2312"/>
          <w:b/>
          <w:color w:val="000000"/>
          <w:sz w:val="32"/>
          <w:szCs w:val="32"/>
        </w:rPr>
        <w:t>（二）“三公”经费财政拨款支出决算具体情况说明</w:t>
      </w:r>
      <w:bookmarkEnd w:id="62"/>
    </w:p>
    <w:p>
      <w:pPr>
        <w:spacing w:line="600" w:lineRule="exact"/>
        <w:ind w:firstLine="640" w:firstLineChars="200"/>
        <w:outlineLvl w:val="1"/>
        <w:rPr>
          <w:rFonts w:hint="eastAsia" w:ascii="仿宋_GB2312" w:hAnsi="仿宋_GB2312" w:eastAsia="仿宋_GB2312" w:cs="仿宋_GB2312"/>
          <w:color w:val="000000"/>
          <w:sz w:val="32"/>
          <w:szCs w:val="32"/>
          <w:lang w:val="en-US" w:eastAsia="zh-CN"/>
        </w:rPr>
      </w:pPr>
      <w:bookmarkStart w:id="63" w:name="_Toc22470"/>
      <w:bookmarkStart w:id="64" w:name="_Toc15377218"/>
      <w:bookmarkStart w:id="65" w:name="_Toc15396610"/>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年“三公”经费财政拨款支出决算为</w:t>
      </w:r>
      <w:r>
        <w:rPr>
          <w:rFonts w:hint="eastAsia" w:ascii="仿宋_GB2312" w:hAnsi="仿宋_GB2312" w:eastAsia="仿宋_GB2312" w:cs="仿宋_GB2312"/>
          <w:color w:val="000000"/>
          <w:sz w:val="32"/>
          <w:szCs w:val="32"/>
          <w:lang w:val="en-US" w:eastAsia="zh-CN"/>
        </w:rPr>
        <w:t>0.11</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%，原因是</w:t>
      </w:r>
      <w:bookmarkEnd w:id="63"/>
      <w:r>
        <w:rPr>
          <w:rFonts w:hint="eastAsia" w:ascii="仿宋_GB2312" w:hAnsi="仿宋_GB2312" w:eastAsia="仿宋_GB2312" w:cs="仿宋_GB2312"/>
          <w:color w:val="000000"/>
          <w:sz w:val="32"/>
          <w:szCs w:val="32"/>
          <w:lang w:val="en-US" w:eastAsia="zh-CN"/>
        </w:rPr>
        <w:t>我局2020年公务接待费用从事业经费支出核算。公务用车购置及公务用车运行维护费支出决算数为0元，原因是我局公务用车资产及经费均由局行政同意核算。</w:t>
      </w:r>
    </w:p>
    <w:p>
      <w:pPr>
        <w:spacing w:line="600" w:lineRule="exact"/>
        <w:ind w:firstLine="640"/>
        <w:outlineLvl w:val="1"/>
        <w:rPr>
          <w:rStyle w:val="25"/>
          <w:rFonts w:ascii="黑体" w:hAnsi="黑体" w:eastAsia="黑体"/>
        </w:rPr>
      </w:pPr>
      <w:bookmarkStart w:id="66" w:name="_Toc31073"/>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64"/>
      <w:bookmarkEnd w:id="65"/>
      <w:bookmarkEnd w:id="66"/>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67" w:name="_Toc15396611"/>
      <w:bookmarkStart w:id="68" w:name="_Toc15377219"/>
      <w:bookmarkStart w:id="69" w:name="_Toc28869"/>
      <w:r>
        <w:rPr>
          <w:rStyle w:val="25"/>
          <w:rFonts w:hint="eastAsia" w:ascii="黑体" w:hAnsi="黑体" w:eastAsia="黑体"/>
          <w:b w:val="0"/>
        </w:rPr>
        <w:t>国有资本经营预算支出决算情况说明</w:t>
      </w:r>
      <w:bookmarkEnd w:id="67"/>
      <w:bookmarkEnd w:id="68"/>
      <w:bookmarkEnd w:id="69"/>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70" w:name="_Toc15377221"/>
      <w:bookmarkStart w:id="71" w:name="_Toc24620"/>
      <w:bookmarkStart w:id="72"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70"/>
      <w:bookmarkEnd w:id="71"/>
      <w:bookmarkEnd w:id="72"/>
    </w:p>
    <w:p>
      <w:pPr>
        <w:spacing w:line="600" w:lineRule="exact"/>
        <w:ind w:firstLine="643" w:firstLineChars="200"/>
        <w:outlineLvl w:val="2"/>
        <w:rPr>
          <w:rFonts w:hint="eastAsia" w:ascii="楷体_GB2312" w:hAnsi="楷体_GB2312" w:eastAsia="楷体_GB2312" w:cs="楷体_GB2312"/>
          <w:color w:val="000000"/>
          <w:sz w:val="32"/>
          <w:szCs w:val="32"/>
        </w:rPr>
      </w:pPr>
      <w:bookmarkStart w:id="73" w:name="_Toc15377222"/>
      <w:r>
        <w:rPr>
          <w:rFonts w:hint="eastAsia" w:ascii="楷体_GB2312" w:hAnsi="楷体_GB2312" w:eastAsia="楷体_GB2312" w:cs="楷体_GB2312"/>
          <w:b/>
          <w:color w:val="000000"/>
          <w:sz w:val="32"/>
          <w:szCs w:val="32"/>
        </w:rPr>
        <w:t>（一）机关运行经费支出情况</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_GB2312"/>
          <w:b/>
          <w:color w:val="FF0000"/>
          <w:sz w:val="32"/>
          <w:szCs w:val="32"/>
          <w:lang w:val="en-US" w:eastAsia="zh-CN"/>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年，四川省阿坝州城乡环境综合治理服务中心（本级）机关运行经费支出</w:t>
      </w:r>
      <w:r>
        <w:rPr>
          <w:rFonts w:hint="eastAsia" w:ascii="仿宋_GB2312" w:eastAsia="仿宋_GB2312"/>
          <w:color w:val="000000"/>
          <w:sz w:val="32"/>
          <w:szCs w:val="32"/>
          <w:lang w:val="en-US" w:eastAsia="zh-CN"/>
        </w:rPr>
        <w:t>29.43</w:t>
      </w:r>
      <w:r>
        <w:rPr>
          <w:rFonts w:hint="eastAsia" w:ascii="仿宋_GB2312" w:eastAsia="仿宋_GB2312"/>
          <w:color w:val="000000"/>
          <w:sz w:val="32"/>
          <w:szCs w:val="32"/>
        </w:rPr>
        <w:t>万元，比201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减少0.31</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降低1.57</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厉行节约原则，严格控制公用经费开支。</w:t>
      </w:r>
    </w:p>
    <w:p>
      <w:pPr>
        <w:autoSpaceDE w:val="0"/>
        <w:autoSpaceDN w:val="0"/>
        <w:adjustRightInd w:val="0"/>
        <w:spacing w:line="600" w:lineRule="exact"/>
        <w:ind w:firstLine="643" w:firstLineChars="200"/>
        <w:jc w:val="left"/>
        <w:outlineLvl w:val="2"/>
        <w:rPr>
          <w:rFonts w:hint="eastAsia" w:ascii="楷体_GB2312" w:hAnsi="楷体_GB2312" w:eastAsia="楷体_GB2312" w:cs="楷体_GB2312"/>
          <w:b/>
          <w:color w:val="000000"/>
          <w:sz w:val="32"/>
          <w:szCs w:val="32"/>
        </w:rPr>
      </w:pPr>
      <w:bookmarkStart w:id="74" w:name="_Toc15377223"/>
      <w:r>
        <w:rPr>
          <w:rFonts w:hint="eastAsia" w:ascii="楷体_GB2312" w:hAnsi="楷体_GB2312" w:eastAsia="楷体_GB2312" w:cs="楷体_GB2312"/>
          <w:b/>
          <w:color w:val="000000"/>
          <w:sz w:val="32"/>
          <w:szCs w:val="32"/>
        </w:rPr>
        <w:t>（二）政府采购支出情况</w:t>
      </w:r>
      <w:bookmarkEnd w:id="74"/>
    </w:p>
    <w:p>
      <w:pPr>
        <w:spacing w:line="600" w:lineRule="exact"/>
        <w:ind w:firstLine="640" w:firstLineChars="200"/>
        <w:rPr>
          <w:rFonts w:hint="default" w:ascii="仿宋" w:hAnsi="仿宋" w:eastAsia="仿宋_GB2312"/>
          <w:b/>
          <w:color w:val="FF0000"/>
          <w:sz w:val="32"/>
          <w:szCs w:val="32"/>
          <w:lang w:val="en-US" w:eastAsia="zh-CN"/>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年，阿坝州城乡环境综合治理服务中心（本级）政府采购支出总额0.00万元，</w:t>
      </w:r>
      <w:r>
        <w:rPr>
          <w:rFonts w:hint="eastAsia" w:ascii="仿宋_GB2312" w:eastAsia="仿宋_GB2312"/>
          <w:color w:val="000000"/>
          <w:sz w:val="32"/>
          <w:szCs w:val="32"/>
          <w:lang w:val="en-US" w:eastAsia="zh-CN"/>
        </w:rPr>
        <w:t>无政府采购支出情况。</w:t>
      </w:r>
    </w:p>
    <w:p>
      <w:pPr>
        <w:autoSpaceDE w:val="0"/>
        <w:autoSpaceDN w:val="0"/>
        <w:adjustRightInd w:val="0"/>
        <w:spacing w:line="600" w:lineRule="exact"/>
        <w:ind w:firstLine="643" w:firstLineChars="200"/>
        <w:jc w:val="left"/>
        <w:outlineLvl w:val="2"/>
        <w:rPr>
          <w:rFonts w:hint="eastAsia" w:ascii="楷体_GB2312" w:hAnsi="楷体_GB2312" w:eastAsia="楷体_GB2312" w:cs="楷体_GB2312"/>
          <w:b/>
          <w:color w:val="000000"/>
          <w:sz w:val="32"/>
          <w:szCs w:val="32"/>
        </w:rPr>
      </w:pPr>
      <w:bookmarkStart w:id="75" w:name="_Toc15377224"/>
      <w:r>
        <w:rPr>
          <w:rFonts w:hint="eastAsia" w:ascii="楷体_GB2312" w:hAnsi="楷体_GB2312" w:eastAsia="楷体_GB2312" w:cs="楷体_GB2312"/>
          <w:b/>
          <w:color w:val="000000"/>
          <w:sz w:val="32"/>
          <w:szCs w:val="32"/>
        </w:rPr>
        <w:t>（三）国有资产占有使用情况</w:t>
      </w:r>
      <w:bookmarkEnd w:id="75"/>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b/>
          <w:color w:val="FF0000"/>
          <w:sz w:val="32"/>
          <w:szCs w:val="32"/>
        </w:rPr>
      </w:pPr>
      <w:r>
        <w:rPr>
          <w:rFonts w:hint="eastAsia" w:ascii="仿宋_GB2312" w:eastAsia="仿宋_GB2312"/>
          <w:color w:val="000000"/>
          <w:sz w:val="32"/>
          <w:szCs w:val="32"/>
        </w:rPr>
        <w:t>截</w:t>
      </w:r>
      <w:r>
        <w:rPr>
          <w:rFonts w:hint="eastAsia" w:ascii="仿宋_GB2312" w:eastAsia="仿宋_GB2312"/>
          <w:color w:val="000000"/>
          <w:sz w:val="32"/>
          <w:szCs w:val="32"/>
          <w:lang w:val="en-US" w:eastAsia="zh-CN"/>
        </w:rPr>
        <w:t>止</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年12月31日，阿坝州城乡环境综合治理服务中心（本级）共有车辆0辆，单价50万元以上通用设备0台（套），单价100万元以上专用设备0台（套）。</w:t>
      </w:r>
    </w:p>
    <w:p>
      <w:pPr>
        <w:autoSpaceDE w:val="0"/>
        <w:autoSpaceDN w:val="0"/>
        <w:adjustRightInd w:val="0"/>
        <w:spacing w:line="600" w:lineRule="exact"/>
        <w:ind w:firstLine="643" w:firstLineChars="200"/>
        <w:jc w:val="left"/>
        <w:rPr>
          <w:rFonts w:hint="eastAsia" w:ascii="仿宋" w:hAnsi="仿宋" w:eastAsia="仿宋"/>
          <w:b/>
          <w:color w:val="FF0000"/>
          <w:sz w:val="32"/>
          <w:szCs w:val="32"/>
        </w:rPr>
      </w:pPr>
    </w:p>
    <w:p>
      <w:pPr>
        <w:autoSpaceDE w:val="0"/>
        <w:autoSpaceDN w:val="0"/>
        <w:adjustRightInd w:val="0"/>
        <w:spacing w:line="600" w:lineRule="exact"/>
        <w:ind w:firstLine="643" w:firstLineChars="200"/>
        <w:jc w:val="left"/>
        <w:rPr>
          <w:rFonts w:hint="eastAsia" w:ascii="仿宋" w:hAnsi="仿宋" w:eastAsia="仿宋"/>
          <w:b/>
          <w:color w:val="FF0000"/>
          <w:sz w:val="32"/>
          <w:szCs w:val="32"/>
        </w:rPr>
      </w:pPr>
    </w:p>
    <w:p>
      <w:pPr>
        <w:autoSpaceDE w:val="0"/>
        <w:autoSpaceDN w:val="0"/>
        <w:adjustRightInd w:val="0"/>
        <w:spacing w:line="600" w:lineRule="exact"/>
        <w:ind w:firstLine="643" w:firstLineChars="200"/>
        <w:jc w:val="left"/>
        <w:rPr>
          <w:rFonts w:hint="eastAsia" w:ascii="仿宋" w:hAnsi="仿宋" w:eastAsia="仿宋"/>
          <w:b/>
          <w:color w:val="FF0000"/>
          <w:sz w:val="32"/>
          <w:szCs w:val="32"/>
        </w:rPr>
      </w:pPr>
    </w:p>
    <w:p>
      <w:pPr>
        <w:autoSpaceDE w:val="0"/>
        <w:autoSpaceDN w:val="0"/>
        <w:adjustRightInd w:val="0"/>
        <w:spacing w:line="600" w:lineRule="exact"/>
        <w:ind w:firstLine="643" w:firstLineChars="200"/>
        <w:jc w:val="left"/>
        <w:rPr>
          <w:rFonts w:hint="eastAsia" w:ascii="仿宋" w:hAnsi="仿宋" w:eastAsia="仿宋"/>
          <w:b/>
          <w:color w:val="FF0000"/>
          <w:sz w:val="32"/>
          <w:szCs w:val="32"/>
        </w:rPr>
      </w:pPr>
    </w:p>
    <w:p>
      <w:pPr>
        <w:autoSpaceDE w:val="0"/>
        <w:autoSpaceDN w:val="0"/>
        <w:adjustRightInd w:val="0"/>
        <w:spacing w:line="600" w:lineRule="exact"/>
        <w:jc w:val="left"/>
        <w:rPr>
          <w:rFonts w:hint="eastAsia" w:ascii="仿宋" w:hAnsi="仿宋" w:eastAsia="仿宋"/>
          <w:b/>
          <w:color w:val="FF0000"/>
          <w:sz w:val="32"/>
          <w:szCs w:val="32"/>
        </w:rPr>
      </w:pPr>
    </w:p>
    <w:p>
      <w:pPr>
        <w:numPr>
          <w:ilvl w:val="0"/>
          <w:numId w:val="3"/>
        </w:numPr>
        <w:spacing w:line="600" w:lineRule="exact"/>
        <w:ind w:firstLine="660" w:firstLineChars="150"/>
        <w:jc w:val="center"/>
        <w:outlineLvl w:val="0"/>
        <w:rPr>
          <w:rStyle w:val="24"/>
          <w:rFonts w:ascii="黑体" w:hAnsi="黑体" w:eastAsia="黑体"/>
          <w:b w:val="0"/>
        </w:rPr>
      </w:pPr>
      <w:bookmarkStart w:id="76" w:name="_Toc4787"/>
      <w:bookmarkStart w:id="77" w:name="_Toc15377225"/>
      <w:bookmarkStart w:id="78"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76"/>
      <w:bookmarkEnd w:id="77"/>
      <w:bookmarkEnd w:id="78"/>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城乡社区支出（类）</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城乡社区管理事务（款）</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其他城乡社区</w:t>
      </w:r>
      <w:r>
        <w:rPr>
          <w:rFonts w:hint="eastAsia" w:ascii="仿宋_GB2312" w:hAnsi="仿宋_GB2312" w:eastAsia="仿宋_GB2312" w:cs="仿宋_GB2312"/>
          <w:color w:val="000000"/>
          <w:sz w:val="32"/>
          <w:szCs w:val="32"/>
          <w:lang w:val="en-US" w:eastAsia="zh-CN"/>
        </w:rPr>
        <w:t>管理事务</w:t>
      </w:r>
      <w:r>
        <w:rPr>
          <w:rFonts w:hint="eastAsia" w:ascii="仿宋_GB2312" w:hAnsi="仿宋_GB2312" w:eastAsia="仿宋_GB2312" w:cs="仿宋_GB2312"/>
          <w:color w:val="000000"/>
          <w:sz w:val="32"/>
          <w:szCs w:val="32"/>
        </w:rPr>
        <w:t>支出（项）:反映除城乡社区支出规定项目科目以外的其他用于城乡社区方面的支出。</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住房保障支出（类）</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住房改革支出（款）</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住房公积金（项）:反映行政事业单位按人力资源和社会保障部、财政部规定的基本工资和津贴补贴以及规定比例为职工缴纳的的住房公积金。　　</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.社会保障和就业</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（类）</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行政事业单位离退休（款）</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机关事业单位基本养老保险缴费（项）:反映各级财政部门对机关事业单位基本养老保险基金收支缺口的补助。</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机关事业单位职业年金缴费支出（项）: 反映机关事业单位实施养老保险制度由单位实际缴纳的职业年金支出。</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12.卫生健康支出</w:t>
      </w:r>
      <w:r>
        <w:rPr>
          <w:rFonts w:hint="eastAsia" w:ascii="仿宋_GB2312" w:hAnsi="仿宋_GB2312" w:eastAsia="仿宋_GB2312" w:cs="仿宋_GB2312"/>
          <w:color w:val="000000"/>
          <w:sz w:val="32"/>
          <w:szCs w:val="32"/>
        </w:rPr>
        <w:t>（类）</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行政事业单位医疗</w:t>
      </w:r>
      <w:r>
        <w:rPr>
          <w:rFonts w:hint="eastAsia" w:ascii="仿宋_GB2312" w:hAnsi="仿宋_GB2312" w:eastAsia="仿宋_GB2312" w:cs="仿宋_GB2312"/>
          <w:color w:val="000000"/>
          <w:sz w:val="32"/>
          <w:szCs w:val="32"/>
        </w:rPr>
        <w:t>（款）</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事业</w:t>
      </w:r>
      <w:r>
        <w:rPr>
          <w:rFonts w:hint="eastAsia" w:ascii="仿宋_GB2312" w:hAnsi="仿宋_GB2312" w:eastAsia="仿宋_GB2312" w:cs="仿宋_GB2312"/>
          <w:color w:val="000000"/>
          <w:sz w:val="32"/>
          <w:szCs w:val="32"/>
        </w:rPr>
        <w:t>单位医疗（项）:反映财政对基本医疗保险基金的补助。</w:t>
      </w:r>
    </w:p>
    <w:p>
      <w:pPr>
        <w:pageBreakBefore w:val="0"/>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784" w:firstLineChars="245"/>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其他行政事业单位医疗支出（项）：反应</w:t>
      </w:r>
      <w:r>
        <w:rPr>
          <w:rFonts w:hint="eastAsia" w:ascii="仿宋_GB2312" w:hAnsi="仿宋_GB2312" w:eastAsia="仿宋_GB2312" w:cs="仿宋_GB2312"/>
          <w:color w:val="000000"/>
          <w:sz w:val="32"/>
          <w:szCs w:val="32"/>
        </w:rPr>
        <w:t>财政对</w:t>
      </w:r>
      <w:r>
        <w:rPr>
          <w:rFonts w:hint="eastAsia" w:ascii="仿宋_GB2312" w:hAnsi="仿宋_GB2312" w:eastAsia="仿宋_GB2312" w:cs="仿宋_GB2312"/>
          <w:color w:val="000000"/>
          <w:sz w:val="32"/>
          <w:szCs w:val="32"/>
          <w:lang w:val="en-US" w:eastAsia="zh-CN"/>
        </w:rPr>
        <w:t>公务员医疗保险补充的</w:t>
      </w:r>
      <w:r>
        <w:rPr>
          <w:rFonts w:hint="eastAsia" w:ascii="仿宋_GB2312" w:hAnsi="仿宋_GB2312" w:eastAsia="仿宋_GB2312" w:cs="仿宋_GB2312"/>
          <w:color w:val="000000"/>
          <w:sz w:val="32"/>
          <w:szCs w:val="32"/>
        </w:rPr>
        <w:t>补助。</w:t>
      </w:r>
    </w:p>
    <w:p>
      <w:pPr>
        <w:pageBreakBefore w:val="0"/>
        <w:numPr>
          <w:ilvl w:val="0"/>
          <w:numId w:val="0"/>
        </w:numPr>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基本支出：指为保障机构正常运转、完成日常工作任务而发生的人员支出和公用支出。</w:t>
      </w:r>
    </w:p>
    <w:p>
      <w:pPr>
        <w:pageBreakBefore w:val="0"/>
        <w:numPr>
          <w:ilvl w:val="0"/>
          <w:numId w:val="0"/>
        </w:numPr>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numPr>
          <w:ilvl w:val="0"/>
          <w:numId w:val="0"/>
        </w:numPr>
        <w:pBdr>
          <w:top w:val="single" w:color="FFFFFF" w:sz="4" w:space="0"/>
          <w:left w:val="single" w:color="FFFFFF" w:sz="4" w:space="31"/>
          <w:bottom w:val="single" w:color="FFFFFF" w:sz="4" w:space="31"/>
          <w:right w:val="single" w:color="FFFFFF" w:sz="4" w:space="0"/>
        </w:pBdr>
        <w:tabs>
          <w:tab w:val="left" w:pos="2685"/>
        </w:tabs>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spacing w:line="600" w:lineRule="exact"/>
        <w:jc w:val="both"/>
        <w:outlineLvl w:val="9"/>
        <w:rPr>
          <w:rStyle w:val="24"/>
          <w:rFonts w:ascii="黑体" w:hAnsi="黑体" w:eastAsia="黑体"/>
          <w:b w:val="0"/>
        </w:rPr>
      </w:pPr>
      <w:bookmarkStart w:id="79" w:name="_Toc15377226"/>
    </w:p>
    <w:p>
      <w:pPr>
        <w:spacing w:line="600" w:lineRule="exact"/>
        <w:jc w:val="both"/>
        <w:outlineLvl w:val="9"/>
        <w:rPr>
          <w:rStyle w:val="24"/>
          <w:rFonts w:ascii="黑体" w:hAnsi="黑体" w:eastAsia="黑体"/>
          <w:b w:val="0"/>
        </w:rPr>
      </w:pPr>
    </w:p>
    <w:p>
      <w:pPr>
        <w:spacing w:line="600" w:lineRule="exact"/>
        <w:jc w:val="both"/>
        <w:outlineLvl w:val="9"/>
        <w:rPr>
          <w:rStyle w:val="24"/>
          <w:rFonts w:ascii="黑体" w:hAnsi="黑体" w:eastAsia="黑体"/>
          <w:b w:val="0"/>
        </w:rPr>
      </w:pPr>
    </w:p>
    <w:p>
      <w:pPr>
        <w:spacing w:line="600" w:lineRule="exact"/>
        <w:jc w:val="both"/>
        <w:outlineLvl w:val="9"/>
        <w:rPr>
          <w:rStyle w:val="24"/>
          <w:rFonts w:ascii="黑体" w:hAnsi="黑体" w:eastAsia="黑体"/>
          <w:b w:val="0"/>
        </w:rPr>
      </w:pPr>
    </w:p>
    <w:p>
      <w:pPr>
        <w:spacing w:line="600" w:lineRule="exact"/>
        <w:jc w:val="both"/>
        <w:outlineLvl w:val="9"/>
        <w:rPr>
          <w:rStyle w:val="24"/>
          <w:rFonts w:ascii="黑体" w:hAnsi="黑体" w:eastAsia="黑体"/>
          <w:b w:val="0"/>
        </w:rPr>
      </w:pPr>
    </w:p>
    <w:p>
      <w:pPr>
        <w:spacing w:line="600" w:lineRule="exact"/>
        <w:jc w:val="both"/>
        <w:outlineLvl w:val="9"/>
        <w:rPr>
          <w:rStyle w:val="24"/>
          <w:rFonts w:ascii="黑体" w:hAnsi="黑体" w:eastAsia="黑体"/>
          <w:b w:val="0"/>
        </w:rPr>
      </w:pPr>
    </w:p>
    <w:p>
      <w:pPr>
        <w:spacing w:line="600" w:lineRule="exact"/>
        <w:jc w:val="both"/>
        <w:outlineLvl w:val="9"/>
        <w:rPr>
          <w:rStyle w:val="24"/>
          <w:rFonts w:ascii="黑体" w:hAnsi="黑体" w:eastAsia="黑体"/>
          <w:b w:val="0"/>
        </w:rPr>
      </w:pPr>
    </w:p>
    <w:p>
      <w:pPr>
        <w:spacing w:line="600" w:lineRule="exact"/>
        <w:jc w:val="both"/>
        <w:outlineLvl w:val="9"/>
        <w:rPr>
          <w:rStyle w:val="24"/>
          <w:rFonts w:ascii="黑体" w:hAnsi="黑体" w:eastAsia="黑体"/>
          <w:b w:val="0"/>
        </w:rPr>
      </w:pPr>
    </w:p>
    <w:p>
      <w:pPr>
        <w:spacing w:line="600" w:lineRule="exact"/>
        <w:jc w:val="both"/>
        <w:outlineLvl w:val="9"/>
        <w:rPr>
          <w:rStyle w:val="24"/>
          <w:rFonts w:ascii="黑体" w:hAnsi="黑体" w:eastAsia="黑体"/>
          <w:b w:val="0"/>
        </w:rPr>
      </w:pPr>
    </w:p>
    <w:p>
      <w:pPr>
        <w:spacing w:line="600" w:lineRule="exact"/>
        <w:jc w:val="both"/>
        <w:outlineLvl w:val="9"/>
        <w:rPr>
          <w:rStyle w:val="24"/>
          <w:rFonts w:ascii="黑体" w:hAnsi="黑体" w:eastAsia="黑体"/>
          <w:b w:val="0"/>
        </w:rPr>
      </w:pPr>
    </w:p>
    <w:p>
      <w:pPr>
        <w:spacing w:line="600" w:lineRule="exact"/>
        <w:jc w:val="center"/>
        <w:outlineLvl w:val="9"/>
        <w:rPr>
          <w:rStyle w:val="24"/>
          <w:rFonts w:ascii="黑体" w:hAnsi="黑体" w:eastAsia="黑体"/>
          <w:b w:val="0"/>
        </w:rPr>
      </w:pPr>
    </w:p>
    <w:p>
      <w:pPr>
        <w:spacing w:line="600" w:lineRule="exact"/>
        <w:jc w:val="center"/>
        <w:outlineLvl w:val="0"/>
        <w:rPr>
          <w:rStyle w:val="24"/>
          <w:rFonts w:ascii="黑体" w:hAnsi="黑体" w:eastAsia="黑体"/>
          <w:b w:val="0"/>
        </w:rPr>
      </w:pPr>
      <w:bookmarkStart w:id="80" w:name="_Toc13468"/>
      <w:bookmarkStart w:id="81" w:name="_Toc15396618"/>
      <w:r>
        <w:rPr>
          <w:rFonts w:hint="eastAsia" w:ascii="黑体" w:hAnsi="黑体" w:eastAsia="黑体"/>
          <w:color w:val="000000"/>
          <w:sz w:val="44"/>
          <w:szCs w:val="44"/>
        </w:rPr>
        <w:t>第</w:t>
      </w:r>
      <w:r>
        <w:rPr>
          <w:rFonts w:hint="eastAsia" w:ascii="黑体" w:hAnsi="黑体" w:eastAsia="黑体"/>
          <w:color w:val="000000"/>
          <w:sz w:val="44"/>
          <w:szCs w:val="44"/>
          <w:lang w:val="en-US" w:eastAsia="zh-CN"/>
        </w:rPr>
        <w:t>四</w:t>
      </w:r>
      <w:r>
        <w:rPr>
          <w:rStyle w:val="24"/>
          <w:rFonts w:hint="eastAsia" w:ascii="黑体" w:hAnsi="黑体" w:eastAsia="黑体"/>
          <w:b w:val="0"/>
        </w:rPr>
        <w:t>部分 附表</w:t>
      </w:r>
      <w:bookmarkEnd w:id="79"/>
      <w:bookmarkEnd w:id="80"/>
      <w:bookmarkEnd w:id="81"/>
    </w:p>
    <w:p>
      <w:pPr>
        <w:pStyle w:val="2"/>
        <w:rPr>
          <w:rFonts w:ascii="仿宋" w:hAnsi="仿宋" w:eastAsia="仿宋"/>
          <w:color w:val="000000"/>
        </w:rPr>
      </w:pPr>
      <w:bookmarkStart w:id="82" w:name="_Toc12116"/>
      <w:bookmarkStart w:id="83" w:name="_Toc15396619"/>
      <w:r>
        <w:rPr>
          <w:rFonts w:hint="eastAsia" w:ascii="仿宋" w:hAnsi="仿宋" w:eastAsia="仿宋"/>
          <w:b w:val="0"/>
          <w:color w:val="000000"/>
          <w:lang w:val="en-US" w:eastAsia="zh-CN"/>
        </w:rPr>
        <w:t>一、</w:t>
      </w:r>
      <w:r>
        <w:rPr>
          <w:rFonts w:hint="eastAsia" w:ascii="仿宋" w:hAnsi="仿宋" w:eastAsia="仿宋"/>
          <w:b w:val="0"/>
          <w:color w:val="000000"/>
        </w:rPr>
        <w:t>收</w:t>
      </w:r>
      <w:r>
        <w:rPr>
          <w:rStyle w:val="25"/>
          <w:rFonts w:hint="eastAsia" w:ascii="仿宋" w:hAnsi="仿宋" w:eastAsia="仿宋"/>
          <w:b w:val="0"/>
          <w:bCs w:val="0"/>
        </w:rPr>
        <w:t>入支出决算总表</w:t>
      </w:r>
      <w:bookmarkEnd w:id="82"/>
      <w:bookmarkEnd w:id="83"/>
    </w:p>
    <w:p>
      <w:pPr>
        <w:pStyle w:val="2"/>
        <w:rPr>
          <w:rFonts w:ascii="仿宋" w:hAnsi="仿宋" w:eastAsia="仿宋"/>
          <w:color w:val="000000"/>
        </w:rPr>
      </w:pPr>
      <w:bookmarkStart w:id="84" w:name="_Toc15396620"/>
      <w:bookmarkStart w:id="85" w:name="_Toc14079"/>
      <w:r>
        <w:rPr>
          <w:rFonts w:hint="eastAsia" w:ascii="仿宋" w:hAnsi="仿宋" w:eastAsia="仿宋"/>
          <w:b w:val="0"/>
          <w:color w:val="000000"/>
        </w:rPr>
        <w:t>二、收</w:t>
      </w:r>
      <w:r>
        <w:rPr>
          <w:rStyle w:val="25"/>
          <w:rFonts w:hint="eastAsia" w:ascii="仿宋" w:hAnsi="仿宋" w:eastAsia="仿宋"/>
          <w:b w:val="0"/>
          <w:bCs w:val="0"/>
        </w:rPr>
        <w:t>入决算表</w:t>
      </w:r>
      <w:bookmarkEnd w:id="84"/>
      <w:bookmarkEnd w:id="85"/>
    </w:p>
    <w:p>
      <w:pPr>
        <w:pStyle w:val="2"/>
        <w:rPr>
          <w:rFonts w:ascii="仿宋" w:hAnsi="仿宋" w:eastAsia="仿宋"/>
          <w:color w:val="000000"/>
        </w:rPr>
      </w:pPr>
      <w:bookmarkStart w:id="86" w:name="_Toc15396621"/>
      <w:bookmarkStart w:id="87" w:name="_Toc1151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86"/>
      <w:bookmarkEnd w:id="87"/>
    </w:p>
    <w:p>
      <w:pPr>
        <w:pStyle w:val="2"/>
        <w:rPr>
          <w:rFonts w:ascii="仿宋" w:hAnsi="仿宋" w:eastAsia="仿宋"/>
          <w:b w:val="0"/>
          <w:color w:val="000000"/>
        </w:rPr>
      </w:pPr>
      <w:bookmarkStart w:id="88" w:name="_Toc15396622"/>
      <w:bookmarkStart w:id="89" w:name="_Toc1750"/>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88"/>
      <w:bookmarkEnd w:id="89"/>
    </w:p>
    <w:p>
      <w:pPr>
        <w:pStyle w:val="2"/>
        <w:rPr>
          <w:rStyle w:val="25"/>
          <w:rFonts w:ascii="仿宋" w:hAnsi="仿宋" w:eastAsia="仿宋"/>
          <w:b w:val="0"/>
          <w:bCs w:val="0"/>
        </w:rPr>
      </w:pPr>
      <w:bookmarkStart w:id="90" w:name="_Toc15396623"/>
      <w:bookmarkStart w:id="91" w:name="_Toc24025"/>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90"/>
      <w:bookmarkEnd w:id="91"/>
      <w:bookmarkStart w:id="92" w:name="_Toc15396624"/>
    </w:p>
    <w:p>
      <w:pPr>
        <w:pStyle w:val="2"/>
        <w:rPr>
          <w:rFonts w:ascii="仿宋" w:hAnsi="仿宋" w:eastAsia="仿宋"/>
          <w:color w:val="000000"/>
        </w:rPr>
      </w:pPr>
      <w:bookmarkStart w:id="93" w:name="_Toc8992"/>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92"/>
      <w:bookmarkEnd w:id="93"/>
    </w:p>
    <w:p>
      <w:pPr>
        <w:pStyle w:val="2"/>
        <w:rPr>
          <w:rFonts w:ascii="仿宋" w:hAnsi="仿宋" w:eastAsia="仿宋"/>
          <w:color w:val="000000"/>
        </w:rPr>
      </w:pPr>
      <w:bookmarkStart w:id="94" w:name="_Toc15396625"/>
      <w:bookmarkStart w:id="95" w:name="_Toc1940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94"/>
      <w:bookmarkEnd w:id="95"/>
    </w:p>
    <w:p>
      <w:pPr>
        <w:pStyle w:val="2"/>
        <w:rPr>
          <w:rFonts w:ascii="仿宋" w:hAnsi="仿宋" w:eastAsia="仿宋"/>
          <w:color w:val="000000"/>
        </w:rPr>
      </w:pPr>
      <w:bookmarkStart w:id="96" w:name="_Toc8684"/>
      <w:bookmarkStart w:id="9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96"/>
      <w:bookmarkEnd w:id="97"/>
    </w:p>
    <w:p>
      <w:pPr>
        <w:pStyle w:val="2"/>
        <w:rPr>
          <w:rFonts w:ascii="仿宋" w:hAnsi="仿宋" w:eastAsia="仿宋"/>
          <w:color w:val="000000"/>
        </w:rPr>
      </w:pPr>
      <w:bookmarkStart w:id="98" w:name="_Toc15396627"/>
      <w:bookmarkStart w:id="99" w:name="_Toc16903"/>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98"/>
      <w:bookmarkEnd w:id="99"/>
    </w:p>
    <w:p>
      <w:pPr>
        <w:pStyle w:val="2"/>
        <w:rPr>
          <w:rFonts w:ascii="仿宋" w:hAnsi="仿宋" w:eastAsia="仿宋"/>
          <w:color w:val="000000"/>
        </w:rPr>
      </w:pPr>
      <w:bookmarkStart w:id="100" w:name="_Toc15396628"/>
      <w:bookmarkStart w:id="101" w:name="_Toc384"/>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00"/>
      <w:bookmarkEnd w:id="101"/>
    </w:p>
    <w:p>
      <w:pPr>
        <w:pStyle w:val="2"/>
        <w:rPr>
          <w:rFonts w:ascii="仿宋" w:hAnsi="仿宋" w:eastAsia="仿宋"/>
          <w:color w:val="000000"/>
        </w:rPr>
      </w:pPr>
      <w:bookmarkStart w:id="102" w:name="_Toc15396629"/>
      <w:bookmarkStart w:id="103" w:name="_Toc3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02"/>
      <w:bookmarkEnd w:id="103"/>
    </w:p>
    <w:p>
      <w:pPr>
        <w:pStyle w:val="2"/>
        <w:rPr>
          <w:rFonts w:ascii="仿宋" w:hAnsi="仿宋" w:eastAsia="仿宋"/>
          <w:color w:val="000000"/>
        </w:rPr>
      </w:pPr>
      <w:bookmarkStart w:id="104" w:name="_Toc15396630"/>
      <w:bookmarkStart w:id="105" w:name="_Toc18317"/>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04"/>
      <w:bookmarkEnd w:id="105"/>
    </w:p>
    <w:p>
      <w:pPr>
        <w:pStyle w:val="2"/>
        <w:rPr>
          <w:rStyle w:val="25"/>
          <w:rFonts w:hint="eastAsia" w:ascii="仿宋" w:hAnsi="仿宋" w:eastAsia="仿宋"/>
          <w:b w:val="0"/>
          <w:bCs w:val="0"/>
        </w:rPr>
      </w:pPr>
      <w:bookmarkStart w:id="106" w:name="_Toc18239"/>
      <w:bookmarkStart w:id="107" w:name="_Toc15396631"/>
      <w:r>
        <w:rPr>
          <w:rStyle w:val="25"/>
          <w:rFonts w:hint="eastAsia" w:ascii="仿宋" w:hAnsi="仿宋" w:eastAsia="仿宋"/>
          <w:b w:val="0"/>
          <w:bCs w:val="0"/>
        </w:rPr>
        <w:t>十三、</w:t>
      </w:r>
      <w:bookmarkEnd w:id="106"/>
      <w:bookmarkEnd w:id="107"/>
      <w:r>
        <w:rPr>
          <w:rStyle w:val="25"/>
          <w:rFonts w:hint="eastAsia" w:ascii="仿宋" w:hAnsi="仿宋" w:eastAsia="仿宋"/>
          <w:b w:val="0"/>
          <w:bCs w:val="0"/>
        </w:rPr>
        <w:t>国有资本经营预算</w:t>
      </w:r>
      <w:r>
        <w:rPr>
          <w:rStyle w:val="25"/>
          <w:rFonts w:hint="eastAsia" w:ascii="仿宋" w:hAnsi="仿宋" w:eastAsia="仿宋"/>
          <w:b w:val="0"/>
          <w:bCs w:val="0"/>
          <w:lang w:val="en-US" w:eastAsia="zh-CN"/>
        </w:rPr>
        <w:t>财政拨款收入</w:t>
      </w:r>
      <w:r>
        <w:rPr>
          <w:rStyle w:val="25"/>
          <w:rFonts w:hint="eastAsia" w:ascii="仿宋" w:hAnsi="仿宋" w:eastAsia="仿宋"/>
          <w:b w:val="0"/>
          <w:bCs w:val="0"/>
        </w:rPr>
        <w:t>支出决算表</w:t>
      </w:r>
    </w:p>
    <w:p>
      <w:pPr>
        <w:pStyle w:val="2"/>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lang w:val="en-US" w:eastAsia="zh-CN"/>
        </w:rPr>
        <w:t>十四、</w:t>
      </w:r>
      <w:r>
        <w:rPr>
          <w:rStyle w:val="25"/>
          <w:rFonts w:hint="eastAsia" w:ascii="仿宋" w:hAnsi="仿宋" w:eastAsia="仿宋"/>
          <w:b w:val="0"/>
          <w:bCs w:val="0"/>
        </w:rPr>
        <w:t>国有资本经营预算</w:t>
      </w:r>
      <w:r>
        <w:rPr>
          <w:rStyle w:val="25"/>
          <w:rFonts w:hint="eastAsia" w:ascii="仿宋" w:hAnsi="仿宋" w:eastAsia="仿宋"/>
          <w:b w:val="0"/>
          <w:bCs w:val="0"/>
          <w:lang w:val="en-US" w:eastAsia="zh-CN"/>
        </w:rPr>
        <w:t>财政拨款</w:t>
      </w:r>
      <w:r>
        <w:rPr>
          <w:rStyle w:val="25"/>
          <w:rFonts w:hint="eastAsia" w:ascii="仿宋" w:hAnsi="仿宋" w:eastAsia="仿宋"/>
          <w:b w:val="0"/>
          <w:bCs w:val="0"/>
        </w:rPr>
        <w:t>支出决算表</w:t>
      </w:r>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37D8"/>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6619"/>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37A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179F5"/>
    <w:rsid w:val="00D20620"/>
    <w:rsid w:val="00D2207C"/>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7548"/>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C853CB4"/>
    <w:rsid w:val="0D595D80"/>
    <w:rsid w:val="0ED47B3C"/>
    <w:rsid w:val="10C055FF"/>
    <w:rsid w:val="16BB723D"/>
    <w:rsid w:val="1A1272DA"/>
    <w:rsid w:val="240371BF"/>
    <w:rsid w:val="29FD04D3"/>
    <w:rsid w:val="319F7F4E"/>
    <w:rsid w:val="39D345A6"/>
    <w:rsid w:val="3CBF575C"/>
    <w:rsid w:val="40B92268"/>
    <w:rsid w:val="44D145E9"/>
    <w:rsid w:val="483F222F"/>
    <w:rsid w:val="48C013D6"/>
    <w:rsid w:val="4AD1159F"/>
    <w:rsid w:val="4ECE2238"/>
    <w:rsid w:val="6207005F"/>
    <w:rsid w:val="6A434CB8"/>
    <w:rsid w:val="6B923995"/>
    <w:rsid w:val="6E853628"/>
    <w:rsid w:val="6F285A90"/>
    <w:rsid w:val="6F7F7BAD"/>
    <w:rsid w:val="71D43F13"/>
    <w:rsid w:val="72734D90"/>
    <w:rsid w:val="74613934"/>
    <w:rsid w:val="749C7F58"/>
    <w:rsid w:val="75041CDC"/>
    <w:rsid w:val="77300B9F"/>
    <w:rsid w:val="7F5E41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2"/>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1099987164677"/>
          <c:y val="0.11797903789304"/>
          <c:w val="0.8909510974201"/>
          <c:h val="0.689169578070411"/>
        </c:manualLayout>
      </c:layout>
      <c:barChart>
        <c:barDir val="col"/>
        <c:grouping val="clustered"/>
        <c:varyColors val="0"/>
        <c:ser>
          <c:idx val="1"/>
          <c:order val="1"/>
          <c:tx>
            <c:strRef>
              <c:f>Sheet1!$B$1</c:f>
              <c:strCache>
                <c:ptCount val="1"/>
                <c:pt idx="0">
                  <c:v>收、支总计</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178.21</c:v>
                </c:pt>
                <c:pt idx="1">
                  <c:v>176.96</c:v>
                </c:pt>
              </c:numCache>
            </c:numRef>
          </c:val>
        </c:ser>
        <c:dLbls>
          <c:showLegendKey val="0"/>
          <c:showVal val="0"/>
          <c:showCatName val="0"/>
          <c:showSerName val="0"/>
          <c:showPercent val="0"/>
          <c:showBubbleSize val="0"/>
        </c:dLbls>
        <c:gapWidth val="219"/>
        <c:overlap val="-27"/>
        <c:axId val="383021142"/>
        <c:axId val="400144998"/>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2019年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2019年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830211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144998"/>
        <c:crosses val="autoZero"/>
        <c:auto val="1"/>
        <c:lblAlgn val="ctr"/>
        <c:lblOffset val="100"/>
        <c:noMultiLvlLbl val="0"/>
      </c:catAx>
      <c:valAx>
        <c:axId val="4001449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021142"/>
        <c:crosses val="autoZero"/>
        <c:crossBetween val="between"/>
      </c:valAx>
      <c:spPr>
        <a:noFill/>
        <a:ln>
          <a:noFill/>
        </a:ln>
        <a:effectLst/>
      </c:spPr>
    </c:plotArea>
    <c:legend>
      <c:legendPos val="b"/>
      <c:layout>
        <c:manualLayout>
          <c:xMode val="edge"/>
          <c:yMode val="edge"/>
          <c:x val="0.390450519830574"/>
          <c:y val="0.9019080892233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基本支出</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1099987164677"/>
          <c:y val="0.11797903789304"/>
          <c:w val="0.8909510974201"/>
          <c:h val="0.689169578070411"/>
        </c:manualLayout>
      </c:layout>
      <c:barChart>
        <c:barDir val="col"/>
        <c:grouping val="clustered"/>
        <c:varyColors val="0"/>
        <c:ser>
          <c:idx val="1"/>
          <c:order val="1"/>
          <c:tx>
            <c:strRef>
              <c:f>Sheet1!$B$1</c:f>
              <c:strCache>
                <c:ptCount val="1"/>
                <c:pt idx="0">
                  <c:v>财政拨款收、支总计</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178.21</c:v>
                </c:pt>
                <c:pt idx="1">
                  <c:v>176.96</c:v>
                </c:pt>
              </c:numCache>
            </c:numRef>
          </c:val>
        </c:ser>
        <c:dLbls>
          <c:showLegendKey val="0"/>
          <c:showVal val="0"/>
          <c:showCatName val="0"/>
          <c:showSerName val="0"/>
          <c:showPercent val="0"/>
          <c:showBubbleSize val="0"/>
        </c:dLbls>
        <c:gapWidth val="219"/>
        <c:overlap val="-27"/>
        <c:axId val="383021142"/>
        <c:axId val="400144998"/>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2019年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2019年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830211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144998"/>
        <c:crosses val="autoZero"/>
        <c:auto val="1"/>
        <c:lblAlgn val="ctr"/>
        <c:lblOffset val="100"/>
        <c:noMultiLvlLbl val="0"/>
      </c:catAx>
      <c:valAx>
        <c:axId val="4001449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021142"/>
        <c:crosses val="autoZero"/>
        <c:crossBetween val="between"/>
      </c:valAx>
      <c:spPr>
        <a:noFill/>
        <a:ln>
          <a:noFill/>
        </a:ln>
        <a:effectLst/>
      </c:spPr>
    </c:plotArea>
    <c:legend>
      <c:legendPos val="b"/>
      <c:layout>
        <c:manualLayout>
          <c:xMode val="edge"/>
          <c:yMode val="edge"/>
          <c:x val="0.390450519830574"/>
          <c:y val="0.9019080892233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1099987164677"/>
          <c:y val="0.11797903789304"/>
          <c:w val="0.8909510974201"/>
          <c:h val="0.689169578070411"/>
        </c:manualLayout>
      </c:layout>
      <c:barChart>
        <c:barDir val="col"/>
        <c:grouping val="clustered"/>
        <c:varyColors val="0"/>
        <c:ser>
          <c:idx val="1"/>
          <c:order val="1"/>
          <c:tx>
            <c:strRef>
              <c:f>Sheet1!$B$1</c:f>
              <c:strCache>
                <c:ptCount val="1"/>
                <c:pt idx="0">
                  <c:v>一般公共预算财政拨款支出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178.21</c:v>
                </c:pt>
                <c:pt idx="1">
                  <c:v>176.96</c:v>
                </c:pt>
              </c:numCache>
            </c:numRef>
          </c:val>
        </c:ser>
        <c:dLbls>
          <c:showLegendKey val="0"/>
          <c:showVal val="0"/>
          <c:showCatName val="0"/>
          <c:showSerName val="0"/>
          <c:showPercent val="0"/>
          <c:showBubbleSize val="0"/>
        </c:dLbls>
        <c:gapWidth val="219"/>
        <c:overlap val="-27"/>
        <c:axId val="383021142"/>
        <c:axId val="400144998"/>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2019年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2019年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830211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144998"/>
        <c:crosses val="autoZero"/>
        <c:auto val="1"/>
        <c:lblAlgn val="ctr"/>
        <c:lblOffset val="100"/>
        <c:noMultiLvlLbl val="0"/>
      </c:catAx>
      <c:valAx>
        <c:axId val="4001449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021142"/>
        <c:crosses val="autoZero"/>
        <c:crossBetween val="between"/>
      </c:valAx>
      <c:spPr>
        <a:noFill/>
        <a:ln>
          <a:noFill/>
        </a:ln>
        <a:effectLst/>
      </c:spPr>
    </c:plotArea>
    <c:legend>
      <c:legendPos val="b"/>
      <c:layout>
        <c:manualLayout>
          <c:xMode val="edge"/>
          <c:yMode val="edge"/>
          <c:x val="0.390450519830574"/>
          <c:y val="0.9019080892233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07913669065"/>
          <c:y val="0.115384615384615"/>
          <c:w val="0.510791366906475"/>
          <c:h val="0.78021978021978"/>
        </c:manualLayout>
      </c:layout>
      <c:pieChart>
        <c:varyColors val="1"/>
        <c:ser>
          <c:idx val="0"/>
          <c:order val="0"/>
          <c:tx>
            <c:strRef>
              <c:f>Sheet1!$A$2</c:f>
              <c:strCache>
                <c:ptCount val="1"/>
                <c:pt idx="0">
                  <c:v>东部</c:v>
                </c:pt>
              </c:strCache>
            </c:strRef>
          </c:tx>
          <c:spPr/>
          <c:explosion val="0"/>
          <c:dPt>
            <c:idx val="0"/>
            <c:bubble3D val="0"/>
            <c:explosion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Sheet1!$B$1:$E$1</c:f>
              <c:strCache>
                <c:ptCount val="4"/>
                <c:pt idx="0">
                  <c:v>城乡社区支出</c:v>
                </c:pt>
                <c:pt idx="1">
                  <c:v>社会保障和就业支出</c:v>
                </c:pt>
                <c:pt idx="2">
                  <c:v>卫生健康支出</c:v>
                </c:pt>
                <c:pt idx="3">
                  <c:v>住房保障支出</c:v>
                </c:pt>
              </c:strCache>
            </c:strRef>
          </c:cat>
          <c:val>
            <c:numRef>
              <c:f>Sheet1!$B$2:$E$2</c:f>
              <c:numCache>
                <c:formatCode>General</c:formatCode>
                <c:ptCount val="4"/>
                <c:pt idx="0">
                  <c:v>77.08</c:v>
                </c:pt>
                <c:pt idx="1">
                  <c:v>10.38</c:v>
                </c:pt>
                <c:pt idx="2">
                  <c:v>5.32</c:v>
                </c:pt>
                <c:pt idx="3">
                  <c:v>7.22</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a:effectLst/>
      </c:spPr>
    </c:plotArea>
    <c:legend>
      <c:legendPos val="r"/>
      <c:layout>
        <c:manualLayout>
          <c:xMode val="edge"/>
          <c:yMode val="edge"/>
          <c:x val="0.749100148210883"/>
          <c:y val="0.0666247642991833"/>
          <c:w val="0.244547956807114"/>
          <c:h val="0.92394720301697"/>
        </c:manualLayout>
      </c:layout>
      <c:overlay val="0"/>
      <c:spPr>
        <a:noFill/>
        <a:ln w="3175">
          <a:solidFill>
            <a:srgbClr val="000000"/>
          </a:solidFill>
          <a:prstDash val="solid"/>
        </a:ln>
        <a:effectLst/>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a:effectLst/>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1FA5C-FBC4-4E0C-90C9-F7AB8D53FD8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1284</Words>
  <Characters>7320</Characters>
  <Lines>61</Lines>
  <Paragraphs>17</Paragraphs>
  <TotalTime>2</TotalTime>
  <ScaleCrop>false</ScaleCrop>
  <LinksUpToDate>false</LinksUpToDate>
  <CharactersWithSpaces>8587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弄萧</cp:lastModifiedBy>
  <cp:lastPrinted>2020-09-22T07:53:00Z</cp:lastPrinted>
  <dcterms:modified xsi:type="dcterms:W3CDTF">2021-09-28T07:55:56Z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4FA38C64902B4EE2B294C3CC843EFB8F</vt:lpwstr>
  </property>
</Properties>
</file>